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pStyle w:val="Style_1"/>
        <w:ind/>
        <w:jc w:val="center"/>
        <w:rPr>
          <w:b w:val="1"/>
        </w:rPr>
      </w:pPr>
      <w:r>
        <w:rPr>
          <w:b w:val="1"/>
        </w:rPr>
        <w:t>ДОГОВОР №</w:t>
      </w:r>
      <w:r>
        <w:rPr>
          <w:b w:val="1"/>
        </w:rPr>
        <w:t xml:space="preserve"> </w:t>
      </w:r>
      <w:r>
        <w:rPr>
          <w:b w:val="1"/>
        </w:rPr>
        <w:t>_____________________________</w:t>
      </w:r>
    </w:p>
    <w:p w14:paraId="02000000">
      <w:pPr>
        <w:pStyle w:val="Style_1"/>
        <w:ind/>
        <w:jc w:val="center"/>
        <w:rPr>
          <w:b w:val="1"/>
        </w:rPr>
      </w:pPr>
      <w:r>
        <w:rPr>
          <w:b w:val="1"/>
        </w:rPr>
        <w:t xml:space="preserve">холодного водоснабжения   </w:t>
      </w:r>
    </w:p>
    <w:p w14:paraId="03000000">
      <w:pPr>
        <w:pStyle w:val="Style_1"/>
        <w:rPr>
          <w:sz w:val="21"/>
        </w:rPr>
      </w:pPr>
      <w:r>
        <w:rPr>
          <w:sz w:val="21"/>
        </w:rPr>
        <w:t xml:space="preserve">г.Нефтекамск                </w:t>
      </w:r>
      <w:r>
        <w:rPr>
          <w:sz w:val="21"/>
        </w:rPr>
        <w:t xml:space="preserve">        </w:t>
      </w:r>
      <w:r>
        <w:rPr>
          <w:sz w:val="21"/>
        </w:rPr>
        <w:t xml:space="preserve">        </w:t>
      </w:r>
      <w:r>
        <w:rPr>
          <w:sz w:val="21"/>
        </w:rPr>
        <w:t xml:space="preserve">    </w:t>
      </w:r>
      <w:r>
        <w:rPr>
          <w:sz w:val="21"/>
        </w:rPr>
        <w:t xml:space="preserve">                                       </w:t>
      </w:r>
      <w:r>
        <w:rPr>
          <w:sz w:val="21"/>
        </w:rPr>
        <w:t xml:space="preserve">        </w:t>
      </w:r>
      <w:r>
        <w:rPr>
          <w:sz w:val="21"/>
        </w:rPr>
        <w:t xml:space="preserve"> </w:t>
      </w:r>
      <w:r>
        <w:rPr>
          <w:sz w:val="21"/>
        </w:rPr>
        <w:t xml:space="preserve">   </w:t>
      </w:r>
      <w:r>
        <w:rPr>
          <w:sz w:val="21"/>
        </w:rPr>
        <w:t xml:space="preserve"> </w:t>
      </w:r>
      <w:r>
        <w:rPr>
          <w:sz w:val="21"/>
        </w:rPr>
        <w:t xml:space="preserve"> </w:t>
      </w:r>
      <w:r>
        <w:rPr>
          <w:sz w:val="21"/>
        </w:rPr>
        <w:t xml:space="preserve">       </w:t>
      </w:r>
      <w:r>
        <w:rPr>
          <w:sz w:val="21"/>
        </w:rPr>
        <w:t xml:space="preserve">   </w:t>
      </w:r>
      <w:r>
        <w:rPr>
          <w:sz w:val="21"/>
        </w:rPr>
        <w:t xml:space="preserve">              </w:t>
      </w:r>
      <w:r>
        <w:rPr>
          <w:sz w:val="21"/>
        </w:rPr>
        <w:t xml:space="preserve">                              </w:t>
      </w:r>
      <w:r>
        <w:rPr>
          <w:sz w:val="21"/>
        </w:rPr>
        <w:t xml:space="preserve"> </w:t>
      </w:r>
      <w:r>
        <w:rPr>
          <w:sz w:val="21"/>
        </w:rPr>
        <w:t>___</w:t>
      </w:r>
      <w:r>
        <w:rPr>
          <w:sz w:val="21"/>
        </w:rPr>
        <w:t>.</w:t>
      </w:r>
      <w:r>
        <w:rPr>
          <w:sz w:val="21"/>
        </w:rPr>
        <w:t>___</w:t>
      </w:r>
      <w:r>
        <w:rPr>
          <w:sz w:val="21"/>
        </w:rPr>
        <w:t>.2</w:t>
      </w:r>
      <w:r>
        <w:rPr>
          <w:sz w:val="21"/>
        </w:rPr>
        <w:t>0____</w:t>
      </w:r>
      <w:r>
        <w:rPr>
          <w:sz w:val="21"/>
        </w:rPr>
        <w:t>г</w:t>
      </w:r>
      <w:r>
        <w:rPr>
          <w:i w:val="1"/>
          <w:sz w:val="21"/>
        </w:rPr>
        <w:t>.</w:t>
      </w:r>
    </w:p>
    <w:p w14:paraId="04000000">
      <w:pPr>
        <w:pStyle w:val="Style_1"/>
        <w:ind/>
        <w:jc w:val="center"/>
        <w:rPr>
          <w:b w:val="1"/>
          <w:sz w:val="20"/>
        </w:rPr>
      </w:pPr>
      <w:r>
        <w:rPr>
          <w:b w:val="1"/>
          <w:sz w:val="20"/>
        </w:rPr>
        <w:t>1</w:t>
      </w:r>
      <w:r>
        <w:rPr>
          <w:b w:val="1"/>
          <w:i w:val="1"/>
          <w:sz w:val="20"/>
        </w:rPr>
        <w:t>.</w:t>
      </w:r>
      <w:r>
        <w:rPr>
          <w:b w:val="1"/>
          <w:sz w:val="20"/>
        </w:rPr>
        <w:t xml:space="preserve"> СТОРОНЫ ПО ДОГОВОРУ</w:t>
      </w:r>
    </w:p>
    <w:p w14:paraId="05000000">
      <w:pPr>
        <w:pStyle w:val="Style_2"/>
        <w:spacing w:line="240" w:lineRule="auto"/>
        <w:ind w:firstLine="426" w:left="0"/>
        <w:jc w:val="both"/>
        <w:rPr>
          <w:rFonts w:ascii="Times New Roman" w:hAnsi="Times New Roman"/>
          <w:sz w:val="21"/>
        </w:rPr>
      </w:pPr>
      <w:r>
        <w:rPr>
          <w:rFonts w:ascii="Times New Roman" w:hAnsi="Times New Roman"/>
          <w:b w:val="1"/>
          <w:sz w:val="21"/>
        </w:rPr>
        <w:t>Муниципальное унитарное предприятие «Нефтекамскводоканал»</w:t>
      </w:r>
      <w:r>
        <w:rPr>
          <w:rFonts w:ascii="Times New Roman" w:hAnsi="Times New Roman"/>
          <w:sz w:val="21"/>
        </w:rPr>
        <w:t xml:space="preserve">, именуемое в дальнейшем </w:t>
      </w:r>
      <w:r>
        <w:rPr>
          <w:rFonts w:ascii="Times New Roman" w:hAnsi="Times New Roman"/>
          <w:sz w:val="21"/>
        </w:rPr>
        <w:t>Водоканал</w:t>
      </w:r>
      <w:r>
        <w:rPr>
          <w:rFonts w:ascii="Times New Roman" w:hAnsi="Times New Roman"/>
          <w:b w:val="1"/>
          <w:sz w:val="21"/>
        </w:rPr>
        <w:t xml:space="preserve"> </w:t>
      </w:r>
      <w:r>
        <w:rPr>
          <w:rFonts w:ascii="Times New Roman" w:hAnsi="Times New Roman"/>
          <w:sz w:val="21"/>
        </w:rPr>
        <w:t>(исполнитель)</w:t>
      </w:r>
      <w:r>
        <w:rPr>
          <w:rFonts w:ascii="Times New Roman" w:hAnsi="Times New Roman"/>
          <w:sz w:val="21"/>
        </w:rPr>
        <w:t xml:space="preserve">, в лице директора </w:t>
      </w:r>
      <w:r>
        <w:rPr>
          <w:rFonts w:ascii="Times New Roman" w:hAnsi="Times New Roman"/>
          <w:sz w:val="21"/>
        </w:rPr>
        <w:t>Юсупова Дамира Хабирьяновича</w:t>
      </w:r>
      <w:r>
        <w:rPr>
          <w:rFonts w:ascii="Times New Roman" w:hAnsi="Times New Roman"/>
          <w:sz w:val="21"/>
        </w:rPr>
        <w:t xml:space="preserve">, действующего на основании Устава, с одной стороны, и </w:t>
      </w:r>
      <w:r>
        <w:rPr>
          <w:rFonts w:ascii="Times New Roman" w:hAnsi="Times New Roman"/>
          <w:sz w:val="21"/>
        </w:rPr>
        <w:t>Абонент</w:t>
      </w:r>
      <w:r>
        <w:rPr>
          <w:rFonts w:ascii="Times New Roman" w:hAnsi="Times New Roman"/>
          <w:b w:val="1"/>
          <w:sz w:val="21"/>
        </w:rPr>
        <w:t xml:space="preserve"> </w:t>
      </w:r>
      <w:r>
        <w:rPr>
          <w:rFonts w:ascii="Times New Roman" w:hAnsi="Times New Roman"/>
          <w:sz w:val="21"/>
        </w:rPr>
        <w:t xml:space="preserve">(потребитель) </w:t>
      </w:r>
      <w:r>
        <w:rPr>
          <w:rFonts w:ascii="Times New Roman" w:hAnsi="Times New Roman"/>
          <w:b w:val="1"/>
          <w:sz w:val="21"/>
        </w:rPr>
        <w:t>______________________________________________________________</w:t>
      </w:r>
      <w:r>
        <w:rPr>
          <w:rFonts w:ascii="Times New Roman" w:hAnsi="Times New Roman"/>
          <w:sz w:val="21"/>
        </w:rPr>
        <w:t xml:space="preserve">, являющийся собственником (нанимателем, арендатором) жилого дома по адресу:  </w:t>
      </w:r>
      <w:r>
        <w:rPr>
          <w:rFonts w:ascii="Times New Roman" w:hAnsi="Times New Roman"/>
          <w:b w:val="1"/>
          <w:sz w:val="22"/>
        </w:rPr>
        <w:t>г.</w:t>
      </w:r>
      <w:r>
        <w:rPr>
          <w:rFonts w:ascii="Times New Roman" w:hAnsi="Times New Roman"/>
          <w:b w:val="1"/>
          <w:sz w:val="22"/>
        </w:rPr>
        <w:t>(с.)______________________</w:t>
      </w:r>
      <w:r>
        <w:rPr>
          <w:rFonts w:ascii="Times New Roman" w:hAnsi="Times New Roman"/>
          <w:sz w:val="22"/>
        </w:rPr>
        <w:t>,</w:t>
      </w:r>
      <w:r>
        <w:rPr>
          <w:rFonts w:ascii="Times New Roman" w:hAnsi="Times New Roman"/>
          <w:b w:val="1"/>
          <w:sz w:val="22"/>
        </w:rPr>
        <w:t xml:space="preserve"> </w:t>
      </w:r>
      <w:r>
        <w:rPr>
          <w:rFonts w:ascii="Times New Roman" w:hAnsi="Times New Roman"/>
          <w:b w:val="1"/>
          <w:sz w:val="22"/>
        </w:rPr>
        <w:t>ул</w:t>
      </w:r>
      <w:r>
        <w:rPr>
          <w:rFonts w:ascii="Times New Roman" w:hAnsi="Times New Roman"/>
          <w:b w:val="1"/>
          <w:sz w:val="22"/>
        </w:rPr>
        <w:t>.______________________________________</w:t>
      </w:r>
      <w:r>
        <w:rPr>
          <w:rFonts w:ascii="Times New Roman" w:hAnsi="Times New Roman"/>
          <w:sz w:val="22"/>
        </w:rPr>
        <w:t>,</w:t>
      </w:r>
      <w:r>
        <w:rPr>
          <w:rFonts w:ascii="Times New Roman" w:hAnsi="Times New Roman"/>
          <w:b w:val="1"/>
          <w:sz w:val="22"/>
        </w:rPr>
        <w:t xml:space="preserve"> д</w:t>
      </w:r>
      <w:r>
        <w:rPr>
          <w:rFonts w:ascii="Times New Roman" w:hAnsi="Times New Roman"/>
          <w:b w:val="1"/>
          <w:sz w:val="22"/>
        </w:rPr>
        <w:t>.____________</w:t>
      </w:r>
      <w:r>
        <w:rPr>
          <w:rFonts w:ascii="Times New Roman" w:hAnsi="Times New Roman"/>
          <w:sz w:val="22"/>
        </w:rPr>
        <w:t>,</w:t>
      </w:r>
      <w:r>
        <w:rPr>
          <w:rFonts w:ascii="Times New Roman" w:hAnsi="Times New Roman"/>
          <w:b w:val="1"/>
          <w:sz w:val="22"/>
        </w:rPr>
        <w:t xml:space="preserve"> кв.</w:t>
      </w:r>
      <w:r>
        <w:rPr>
          <w:rFonts w:ascii="Times New Roman" w:hAnsi="Times New Roman"/>
          <w:b w:val="1"/>
          <w:sz w:val="22"/>
        </w:rPr>
        <w:t>__________</w:t>
      </w:r>
      <w:r>
        <w:rPr>
          <w:rFonts w:ascii="Times New Roman" w:hAnsi="Times New Roman"/>
          <w:sz w:val="21"/>
        </w:rPr>
        <w:t>,</w:t>
      </w:r>
      <w:r>
        <w:rPr>
          <w:rFonts w:ascii="Times New Roman" w:hAnsi="Times New Roman"/>
          <w:sz w:val="21"/>
        </w:rPr>
        <w:t xml:space="preserve"> с другой стороны, заключили настоящий договор о нижеследующем.</w:t>
      </w:r>
      <w:r>
        <w:rPr>
          <w:rFonts w:ascii="Times New Roman" w:hAnsi="Times New Roman"/>
          <w:b w:val="1"/>
          <w:sz w:val="21"/>
        </w:rPr>
        <w:t xml:space="preserve">                                                   </w:t>
      </w:r>
    </w:p>
    <w:p w14:paraId="06000000">
      <w:pPr>
        <w:pStyle w:val="Style_2"/>
        <w:spacing w:before="80" w:line="240" w:lineRule="auto"/>
        <w:ind w:firstLine="0" w:left="0"/>
        <w:jc w:val="center"/>
        <w:rPr>
          <w:rFonts w:ascii="Times New Roman" w:hAnsi="Times New Roman"/>
          <w:b w:val="1"/>
        </w:rPr>
      </w:pPr>
      <w:r>
        <w:rPr>
          <w:rFonts w:ascii="Times New Roman" w:hAnsi="Times New Roman"/>
          <w:b w:val="1"/>
        </w:rPr>
        <w:t>2. ПРЕДМЕТ ДОГОВОРА И ОБЩИЕ ПОЛОЖЕНИЯ</w:t>
      </w:r>
    </w:p>
    <w:p w14:paraId="07000000">
      <w:pPr>
        <w:pStyle w:val="Style_3"/>
        <w:tabs>
          <w:tab w:leader="none" w:pos="375" w:val="left"/>
        </w:tabs>
        <w:spacing w:line="100" w:lineRule="atLeast"/>
        <w:ind/>
        <w:jc w:val="both"/>
        <w:rPr>
          <w:sz w:val="20"/>
        </w:rPr>
      </w:pPr>
      <w:r>
        <w:rPr>
          <w:sz w:val="20"/>
        </w:rPr>
        <w:t>2.1. Водоканал и Абонент по всем вопросам своих взаимоотношений руководствуются условиями настоящего договора, Жилищным кодексом РФ, Федеральным законом от 23.11.2009г.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Постановлением Правительства РФ от 06.05.2011г. №354 «О предоставлении коммунальных услуг собственникам и пользователям помещений в многоквартирных домах и жилых домов» (далее Постановление №354) и иными правовыми актами, действующими на территории РФ и РБ.</w:t>
      </w:r>
    </w:p>
    <w:p w14:paraId="08000000">
      <w:pPr>
        <w:pStyle w:val="Style_3"/>
        <w:tabs>
          <w:tab w:leader="none" w:pos="375" w:val="left"/>
        </w:tabs>
        <w:spacing w:line="100" w:lineRule="atLeast"/>
        <w:ind/>
        <w:jc w:val="both"/>
        <w:rPr>
          <w:sz w:val="20"/>
        </w:rPr>
      </w:pPr>
      <w:r>
        <w:rPr>
          <w:sz w:val="20"/>
        </w:rPr>
        <w:t>2.2. Водоканал обеспечивает отпуск питьевой воды Абоненту по указанному</w:t>
      </w:r>
      <w:r>
        <w:rPr>
          <w:sz w:val="20"/>
        </w:rPr>
        <w:t xml:space="preserve"> в настоящем договоре</w:t>
      </w:r>
      <w:r>
        <w:rPr>
          <w:sz w:val="20"/>
        </w:rPr>
        <w:t xml:space="preserve"> адресу из централизованной системы водоснабжения через водопроводные вводы, находящиеся в ведении Абонента. Количество лиц, постоянно проживающих в жилом доме (помещении) </w:t>
      </w:r>
      <w:r>
        <w:rPr>
          <w:sz w:val="20"/>
        </w:rPr>
        <w:t xml:space="preserve">- </w:t>
      </w:r>
      <w:r>
        <w:rPr>
          <w:sz w:val="20"/>
        </w:rPr>
        <w:t>1</w:t>
      </w:r>
      <w:r>
        <w:rPr>
          <w:sz w:val="20"/>
        </w:rPr>
        <w:t xml:space="preserve"> </w:t>
      </w:r>
      <w:r>
        <w:rPr>
          <w:sz w:val="20"/>
        </w:rPr>
        <w:t>человек.</w:t>
      </w:r>
      <w:r>
        <w:rPr>
          <w:sz w:val="20"/>
        </w:rPr>
        <w:t xml:space="preserve"> </w:t>
      </w:r>
    </w:p>
    <w:p w14:paraId="09000000">
      <w:pPr>
        <w:pStyle w:val="Style_3"/>
        <w:ind/>
        <w:jc w:val="both"/>
        <w:rPr>
          <w:sz w:val="20"/>
        </w:rPr>
      </w:pPr>
      <w:r>
        <w:rPr>
          <w:sz w:val="20"/>
        </w:rPr>
        <w:t xml:space="preserve">2.3. Устранение аварий на сетях, не находящихся в ведении Водоканала и подводках к частным домам, а также ремонт внутридомовых сантехнических систем может быть произведен по заявкам Абонента при наличии технической </w:t>
      </w:r>
      <w:r>
        <w:rPr>
          <w:sz w:val="20"/>
        </w:rPr>
        <w:t>возможности и  дополнительной оплате услуг Абонентом согласно калькуляции.</w:t>
      </w:r>
    </w:p>
    <w:p w14:paraId="0A000000">
      <w:pPr>
        <w:spacing w:after="0" w:line="240" w:lineRule="auto"/>
        <w:ind/>
        <w:jc w:val="both"/>
        <w:rPr>
          <w:rFonts w:ascii="Times New Roman" w:hAnsi="Times New Roman"/>
          <w:sz w:val="20"/>
        </w:rPr>
      </w:pPr>
      <w:r>
        <w:rPr>
          <w:rFonts w:ascii="Times New Roman" w:hAnsi="Times New Roman"/>
          <w:sz w:val="20"/>
        </w:rPr>
        <w:t xml:space="preserve">2.4. </w:t>
      </w:r>
      <w:r>
        <w:rPr>
          <w:rFonts w:ascii="Times New Roman" w:hAnsi="Times New Roman"/>
          <w:sz w:val="20"/>
        </w:rPr>
        <w:t>Стороны договорились о том, что в отсутствие соответствующих актов разграничения балансовой принадлежности и эксплуатационной ответственности сетей водоснабжения, границей эксплуатационной ответственности и балансовой принадлежности сетей холодного водоснабжения Водоканала и Абонента является место присоединения водопроводного ввода индивидуального жилого дома или иного объекта Абонента к централизованным сетям холодного водоснабжения, находящихся в хозяйственном ведении Водоканала.</w:t>
      </w:r>
      <w:r>
        <w:rPr>
          <w:rFonts w:ascii="Times New Roman" w:hAnsi="Times New Roman"/>
          <w:sz w:val="20"/>
        </w:rPr>
        <w:t xml:space="preserve"> </w:t>
      </w:r>
      <w:r>
        <w:rPr>
          <w:rFonts w:ascii="Times New Roman" w:hAnsi="Times New Roman"/>
          <w:sz w:val="20"/>
        </w:rPr>
        <w:t>В том случае, если балансодержателем сетей является третье лицо, Абонент обязуется заключить с ним договор на транспортировку воды с таким лицом.</w:t>
      </w:r>
      <w:r>
        <w:rPr>
          <w:rFonts w:ascii="Times New Roman" w:hAnsi="Times New Roman"/>
          <w:sz w:val="20"/>
        </w:rPr>
        <w:t xml:space="preserve"> </w:t>
      </w:r>
    </w:p>
    <w:p w14:paraId="0B000000">
      <w:pPr>
        <w:spacing w:after="0" w:line="240" w:lineRule="auto"/>
        <w:ind/>
        <w:rPr>
          <w:rFonts w:ascii="Times New Roman" w:hAnsi="Times New Roman"/>
          <w:sz w:val="6"/>
        </w:rPr>
      </w:pPr>
    </w:p>
    <w:p w14:paraId="0C000000">
      <w:pPr>
        <w:pStyle w:val="Style_2"/>
        <w:spacing w:line="240" w:lineRule="auto"/>
        <w:ind w:firstLine="0" w:left="0"/>
        <w:jc w:val="center"/>
        <w:rPr>
          <w:rFonts w:ascii="Times New Roman" w:hAnsi="Times New Roman"/>
          <w:b w:val="1"/>
        </w:rPr>
      </w:pPr>
      <w:r>
        <w:rPr>
          <w:rFonts w:ascii="Times New Roman" w:hAnsi="Times New Roman"/>
          <w:b w:val="1"/>
        </w:rPr>
        <w:t>3. ПРАВА И ОБЯЗАННОСТИ ВОДОКАНАЛА</w:t>
      </w:r>
    </w:p>
    <w:p w14:paraId="0D000000">
      <w:pPr>
        <w:pStyle w:val="Style_2"/>
        <w:spacing w:line="240" w:lineRule="auto"/>
        <w:ind w:firstLine="0" w:left="0"/>
        <w:jc w:val="both"/>
        <w:rPr>
          <w:rFonts w:ascii="Times New Roman" w:hAnsi="Times New Roman"/>
          <w:b w:val="1"/>
        </w:rPr>
      </w:pPr>
      <w:r>
        <w:rPr>
          <w:rFonts w:ascii="Times New Roman" w:hAnsi="Times New Roman"/>
        </w:rPr>
        <w:t>3.1.</w:t>
      </w:r>
      <w:r>
        <w:rPr>
          <w:rFonts w:ascii="Times New Roman" w:hAnsi="Times New Roman"/>
          <w:b w:val="1"/>
        </w:rPr>
        <w:t xml:space="preserve"> Водоканал  обязан:</w:t>
      </w:r>
    </w:p>
    <w:p w14:paraId="0E000000">
      <w:pPr>
        <w:pStyle w:val="Style_2"/>
        <w:spacing w:line="240" w:lineRule="auto"/>
        <w:ind w:firstLine="0" w:left="0"/>
        <w:jc w:val="both"/>
        <w:rPr>
          <w:rFonts w:ascii="Times New Roman" w:hAnsi="Times New Roman"/>
        </w:rPr>
      </w:pPr>
      <w:r>
        <w:rPr>
          <w:rFonts w:ascii="Times New Roman" w:hAnsi="Times New Roman"/>
        </w:rPr>
        <w:t>3.1.1. Предоставлять услуги установленного качества (потребительских свойств и режима предоставления). Качество подаваемой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w:t>
      </w:r>
    </w:p>
    <w:p w14:paraId="0F000000">
      <w:pPr>
        <w:pStyle w:val="Style_2"/>
        <w:spacing w:line="240" w:lineRule="auto"/>
        <w:ind w:firstLine="0" w:left="0"/>
        <w:jc w:val="both"/>
        <w:rPr>
          <w:rFonts w:ascii="Times New Roman" w:hAnsi="Times New Roman"/>
        </w:rPr>
      </w:pPr>
      <w:r>
        <w:rPr>
          <w:rFonts w:ascii="Times New Roman" w:hAnsi="Times New Roman"/>
        </w:rPr>
        <w:t>3.1.2. Принимать своевременные меры по предупреждению и устранению нарушений качества предоставляемых услуг Абоненту.</w:t>
      </w:r>
    </w:p>
    <w:p w14:paraId="10000000">
      <w:pPr>
        <w:pStyle w:val="Style_2"/>
        <w:spacing w:line="240" w:lineRule="auto"/>
        <w:ind w:firstLine="0" w:left="0"/>
        <w:jc w:val="both"/>
        <w:rPr>
          <w:rFonts w:ascii="Times New Roman" w:hAnsi="Times New Roman"/>
        </w:rPr>
      </w:pPr>
      <w:r>
        <w:rPr>
          <w:rFonts w:ascii="Times New Roman" w:hAnsi="Times New Roman"/>
        </w:rPr>
        <w:t>3.1.3. Опломбировать Абоненту приборы учета холодной воды без взимания платы, за исключением случаев, предусмотренных законодательством РФ.</w:t>
      </w:r>
      <w:r>
        <w:rPr>
          <w:rFonts w:ascii="Times New Roman" w:hAnsi="Times New Roman"/>
        </w:rPr>
        <w:t xml:space="preserve"> Опломбировка производится по заявке абонента.</w:t>
      </w:r>
    </w:p>
    <w:p w14:paraId="11000000">
      <w:pPr>
        <w:pStyle w:val="Style_2"/>
        <w:spacing w:line="240" w:lineRule="auto"/>
        <w:ind w:firstLine="0" w:left="0"/>
        <w:jc w:val="both"/>
        <w:rPr>
          <w:rFonts w:ascii="Times New Roman" w:hAnsi="Times New Roman"/>
        </w:rPr>
      </w:pPr>
      <w:r>
        <w:rPr>
          <w:rFonts w:ascii="Times New Roman" w:hAnsi="Times New Roman"/>
        </w:rPr>
        <w:t>3.1.4. Принимать меры по выявлению самовольного подключения Абонента к централизованным системам  холодного водоснабжения.</w:t>
      </w:r>
    </w:p>
    <w:p w14:paraId="12000000">
      <w:pPr>
        <w:pStyle w:val="Style_2"/>
        <w:spacing w:line="240" w:lineRule="auto"/>
        <w:ind w:firstLine="0" w:left="0"/>
        <w:jc w:val="both"/>
        <w:rPr>
          <w:rFonts w:ascii="Times New Roman" w:hAnsi="Times New Roman"/>
        </w:rPr>
      </w:pPr>
      <w:r>
        <w:rPr>
          <w:rFonts w:ascii="Times New Roman" w:hAnsi="Times New Roman"/>
        </w:rPr>
        <w:t>3.1.5. Производить непосредственно при обращении потребителя проверки правильности начисления платы за услуги водоснабжения.</w:t>
      </w:r>
    </w:p>
    <w:p w14:paraId="13000000">
      <w:pPr>
        <w:pStyle w:val="Style_2"/>
        <w:spacing w:line="240" w:lineRule="auto"/>
        <w:ind w:firstLine="0" w:left="0"/>
        <w:jc w:val="both"/>
        <w:rPr>
          <w:rFonts w:ascii="Times New Roman" w:hAnsi="Times New Roman"/>
        </w:rPr>
      </w:pPr>
      <w:r>
        <w:rPr>
          <w:rFonts w:ascii="Times New Roman" w:hAnsi="Times New Roman"/>
        </w:rPr>
        <w:t>3.1.6. Своевременно информировать Абонента через средства массовой информации об изменении качества услуг.</w:t>
      </w:r>
    </w:p>
    <w:p w14:paraId="14000000">
      <w:pPr>
        <w:pStyle w:val="Style_2"/>
        <w:spacing w:line="240" w:lineRule="auto"/>
        <w:ind w:firstLine="0" w:left="0"/>
        <w:jc w:val="both"/>
        <w:rPr>
          <w:rFonts w:ascii="Times New Roman" w:hAnsi="Times New Roman"/>
        </w:rPr>
      </w:pPr>
      <w:r>
        <w:rPr>
          <w:rFonts w:ascii="Times New Roman" w:hAnsi="Times New Roman"/>
        </w:rPr>
        <w:t>3.1.7. Оповещать Абонента через средства массовой информации о проведении плановых ремонтных работ и сроках ремонта не позднее, чем  за 10 рабочих дней до начала перерыва.</w:t>
      </w:r>
    </w:p>
    <w:p w14:paraId="15000000">
      <w:pPr>
        <w:pStyle w:val="Style_2"/>
        <w:spacing w:line="240" w:lineRule="auto"/>
        <w:ind w:firstLine="0" w:left="0"/>
        <w:jc w:val="both"/>
        <w:rPr>
          <w:rFonts w:ascii="Times New Roman" w:hAnsi="Times New Roman"/>
          <w:b w:val="1"/>
        </w:rPr>
      </w:pPr>
      <w:r>
        <w:rPr>
          <w:rFonts w:ascii="Times New Roman" w:hAnsi="Times New Roman"/>
        </w:rPr>
        <w:t>3.2.</w:t>
      </w:r>
      <w:r>
        <w:rPr>
          <w:rFonts w:ascii="Times New Roman" w:hAnsi="Times New Roman"/>
          <w:b w:val="1"/>
        </w:rPr>
        <w:t xml:space="preserve"> Водоканал  имеет право:</w:t>
      </w:r>
    </w:p>
    <w:p w14:paraId="16000000">
      <w:pPr>
        <w:pStyle w:val="Style_2"/>
        <w:spacing w:line="240" w:lineRule="auto"/>
        <w:ind w:firstLine="0" w:left="0"/>
        <w:jc w:val="both"/>
        <w:rPr>
          <w:rFonts w:ascii="Times New Roman" w:hAnsi="Times New Roman"/>
        </w:rPr>
      </w:pPr>
      <w:r>
        <w:rPr>
          <w:rFonts w:ascii="Times New Roman" w:hAnsi="Times New Roman"/>
        </w:rPr>
        <w:t>3.2.1. Прекратить или ограничить подачу питьевой воды без предварительного уведомления Абонента в следующих случаях:</w:t>
      </w:r>
    </w:p>
    <w:p w14:paraId="17000000">
      <w:pPr>
        <w:pStyle w:val="Style_2"/>
        <w:spacing w:line="240" w:lineRule="auto"/>
        <w:ind w:firstLine="0" w:left="0"/>
        <w:jc w:val="both"/>
        <w:rPr>
          <w:rFonts w:ascii="Times New Roman" w:hAnsi="Times New Roman"/>
        </w:rPr>
      </w:pPr>
      <w:r>
        <w:rPr>
          <w:rFonts w:ascii="Times New Roman" w:hAnsi="Times New Roman"/>
        </w:rPr>
        <w:t>- прекращение энергоснабжения объектов Водоканала;</w:t>
      </w:r>
    </w:p>
    <w:p w14:paraId="18000000">
      <w:pPr>
        <w:pStyle w:val="Style_3"/>
        <w:ind/>
        <w:jc w:val="both"/>
        <w:rPr>
          <w:sz w:val="20"/>
        </w:rPr>
      </w:pPr>
      <w:r>
        <w:rPr>
          <w:sz w:val="20"/>
        </w:rPr>
        <w:t>- возникновение аварий, стихийных бедствий и чрезвычайных ситуаций;</w:t>
      </w:r>
    </w:p>
    <w:p w14:paraId="19000000">
      <w:pPr>
        <w:pStyle w:val="Style_2"/>
        <w:spacing w:line="240" w:lineRule="auto"/>
        <w:ind w:firstLine="0" w:left="0"/>
        <w:jc w:val="both"/>
        <w:rPr>
          <w:rFonts w:ascii="Times New Roman" w:hAnsi="Times New Roman"/>
        </w:rPr>
      </w:pPr>
      <w:r>
        <w:rPr>
          <w:rFonts w:ascii="Times New Roman" w:hAnsi="Times New Roman"/>
        </w:rPr>
        <w:t>- необходимость увеличения подачи питьевой воды к местам возникновения пожаров;</w:t>
      </w:r>
    </w:p>
    <w:p w14:paraId="1A000000">
      <w:pPr>
        <w:pStyle w:val="Style_2"/>
        <w:spacing w:line="240" w:lineRule="auto"/>
        <w:ind w:firstLine="0" w:left="0"/>
        <w:jc w:val="both"/>
        <w:rPr>
          <w:rFonts w:ascii="Times New Roman" w:hAnsi="Times New Roman"/>
        </w:rPr>
      </w:pPr>
      <w:r>
        <w:rPr>
          <w:rFonts w:ascii="Times New Roman" w:hAnsi="Times New Roman"/>
        </w:rPr>
        <w:t>- резкое ухудшение качества воды в источнике;</w:t>
      </w:r>
    </w:p>
    <w:p w14:paraId="1B000000">
      <w:pPr>
        <w:pStyle w:val="Style_2"/>
        <w:spacing w:line="240" w:lineRule="auto"/>
        <w:ind w:firstLine="0" w:left="0"/>
        <w:jc w:val="both"/>
        <w:rPr>
          <w:rFonts w:ascii="Times New Roman" w:hAnsi="Times New Roman"/>
        </w:rPr>
      </w:pPr>
      <w:r>
        <w:rPr>
          <w:rFonts w:ascii="Times New Roman" w:hAnsi="Times New Roman"/>
        </w:rPr>
        <w:t>- выявление факта несанкционированного подключения внутридомового оборуд</w:t>
      </w:r>
      <w:r>
        <w:rPr>
          <w:rFonts w:ascii="Times New Roman" w:hAnsi="Times New Roman"/>
        </w:rPr>
        <w:t>ования потребителя к централизо-</w:t>
      </w:r>
      <w:r>
        <w:rPr>
          <w:rFonts w:ascii="Times New Roman" w:hAnsi="Times New Roman"/>
        </w:rPr>
        <w:t>ванным сетям инженерно-технического обеспечения — с момента выявления несанкционированного подключения;</w:t>
      </w:r>
    </w:p>
    <w:p w14:paraId="1C000000">
      <w:pPr>
        <w:pStyle w:val="Style_2"/>
        <w:spacing w:line="240" w:lineRule="auto"/>
        <w:ind w:firstLine="0" w:left="0"/>
        <w:jc w:val="both"/>
        <w:rPr>
          <w:rFonts w:ascii="Times New Roman" w:hAnsi="Times New Roman"/>
        </w:rPr>
      </w:pPr>
      <w:r>
        <w:rPr>
          <w:rFonts w:ascii="Times New Roman" w:hAnsi="Times New Roman"/>
        </w:rPr>
        <w:t>- при невозможности эксплуатации систем водоснабжения Абонента (порыв, засор и т. д.).</w:t>
      </w:r>
    </w:p>
    <w:p w14:paraId="1D000000">
      <w:pPr>
        <w:pStyle w:val="Style_2"/>
        <w:spacing w:line="240" w:lineRule="auto"/>
        <w:ind w:firstLine="0" w:left="40"/>
        <w:jc w:val="both"/>
        <w:rPr>
          <w:rFonts w:ascii="Times New Roman" w:hAnsi="Times New Roman"/>
        </w:rPr>
      </w:pPr>
      <w:r>
        <w:rPr>
          <w:rFonts w:ascii="Times New Roman" w:hAnsi="Times New Roman"/>
        </w:rPr>
        <w:t>3.2.2. Без предварительного уведомления снижать давление в водопроводной сети во время проведения ремонтных работ.</w:t>
      </w:r>
    </w:p>
    <w:p w14:paraId="1E000000">
      <w:pPr>
        <w:pStyle w:val="Style_2"/>
        <w:spacing w:line="240" w:lineRule="auto"/>
        <w:ind w:firstLine="0" w:left="0"/>
        <w:jc w:val="both"/>
        <w:rPr>
          <w:rFonts w:ascii="Times New Roman" w:hAnsi="Times New Roman"/>
        </w:rPr>
      </w:pPr>
      <w:r>
        <w:rPr>
          <w:rFonts w:ascii="Times New Roman" w:hAnsi="Times New Roman"/>
        </w:rPr>
        <w:t>3.2.3. Осуществлять контроль за потреблением услуг путем проведения осмотров состояния инженерного оборудования у Абонента.</w:t>
      </w:r>
    </w:p>
    <w:p w14:paraId="1F000000">
      <w:pPr>
        <w:pStyle w:val="Style_2"/>
        <w:spacing w:line="240" w:lineRule="auto"/>
        <w:ind w:firstLine="0" w:left="0"/>
        <w:jc w:val="both"/>
        <w:rPr>
          <w:rFonts w:ascii="Times New Roman" w:hAnsi="Times New Roman"/>
        </w:rPr>
      </w:pPr>
      <w:r>
        <w:rPr>
          <w:rFonts w:ascii="Times New Roman" w:hAnsi="Times New Roman"/>
        </w:rPr>
        <w:t>3.2.4. Осуществлять иные права, предоставленные Водоканалом по настоящему договору и в соответствии с законодательством РФ.</w:t>
      </w:r>
      <w:r>
        <w:rPr>
          <w:rFonts w:ascii="Times New Roman" w:hAnsi="Times New Roman"/>
          <w:b w:val="1"/>
        </w:rPr>
        <w:t xml:space="preserve"> </w:t>
      </w:r>
    </w:p>
    <w:p w14:paraId="20000000">
      <w:pPr>
        <w:pStyle w:val="Style_3"/>
        <w:ind/>
        <w:jc w:val="center"/>
        <w:rPr>
          <w:b w:val="1"/>
          <w:sz w:val="20"/>
        </w:rPr>
      </w:pPr>
      <w:r>
        <w:rPr>
          <w:b w:val="1"/>
          <w:sz w:val="20"/>
        </w:rPr>
        <w:t>4. ПРАВА И ОБЯЗАННОСТИ АБОНЕНТА</w:t>
      </w:r>
    </w:p>
    <w:p w14:paraId="21000000">
      <w:pPr>
        <w:pStyle w:val="Style_3"/>
        <w:ind/>
        <w:jc w:val="both"/>
        <w:rPr>
          <w:b w:val="1"/>
          <w:sz w:val="20"/>
        </w:rPr>
      </w:pPr>
      <w:r>
        <w:rPr>
          <w:sz w:val="20"/>
        </w:rPr>
        <w:t>4.1.</w:t>
      </w:r>
      <w:r>
        <w:rPr>
          <w:b w:val="1"/>
          <w:sz w:val="20"/>
        </w:rPr>
        <w:t xml:space="preserve"> Абонент обязан:</w:t>
      </w:r>
    </w:p>
    <w:p w14:paraId="22000000">
      <w:pPr>
        <w:pStyle w:val="Style_3"/>
        <w:ind/>
        <w:jc w:val="both"/>
        <w:rPr>
          <w:sz w:val="20"/>
        </w:rPr>
      </w:pPr>
      <w:r>
        <w:rPr>
          <w:sz w:val="20"/>
        </w:rPr>
        <w:t xml:space="preserve">4.1.1. Своевременно и в полном объеме, в установленные договором сроки оплачивать предоставленные услуги.                  </w:t>
      </w:r>
    </w:p>
    <w:p w14:paraId="23000000">
      <w:pPr>
        <w:pStyle w:val="Style_3"/>
        <w:ind/>
        <w:jc w:val="both"/>
        <w:rPr>
          <w:sz w:val="20"/>
        </w:rPr>
      </w:pPr>
      <w:r>
        <w:rPr>
          <w:sz w:val="20"/>
        </w:rPr>
        <w:t>4.1.2. Эксплуатировать в соответствии с установленными нормами и правилами внутридомовые инженерные сети водоснабжения.</w:t>
      </w:r>
    </w:p>
    <w:p w14:paraId="24000000">
      <w:pPr>
        <w:pStyle w:val="Style_3"/>
        <w:ind/>
        <w:jc w:val="both"/>
        <w:rPr>
          <w:sz w:val="20"/>
        </w:rPr>
      </w:pPr>
      <w:r>
        <w:rPr>
          <w:sz w:val="20"/>
        </w:rPr>
        <w:t xml:space="preserve">4.1.3. Обеспечивать сохранность пломб и знаков поверки на приборах учета воды, находящихся в границах </w:t>
      </w:r>
      <w:r>
        <w:rPr>
          <w:sz w:val="20"/>
        </w:rPr>
        <w:t>эксплуатационной ответственности Абонента.</w:t>
      </w:r>
    </w:p>
    <w:p w14:paraId="25000000">
      <w:pPr>
        <w:pStyle w:val="Style_3"/>
        <w:ind/>
        <w:jc w:val="both"/>
        <w:rPr>
          <w:sz w:val="20"/>
        </w:rPr>
      </w:pPr>
      <w:r>
        <w:rPr>
          <w:sz w:val="20"/>
        </w:rPr>
        <w:t xml:space="preserve">4.1.4. </w:t>
      </w:r>
      <w:r>
        <w:rPr>
          <w:sz w:val="20"/>
        </w:rPr>
        <w:t>Беспрепятственно д</w:t>
      </w:r>
      <w:r>
        <w:rPr>
          <w:sz w:val="20"/>
        </w:rPr>
        <w:t xml:space="preserve">опускать представителей Водоканала в занимаемое жилое помещение для проверки наличия или отсутствия индивидуальных приборов учета, их технического состояния, достоверности предоставленных Абонентом сведений о показаниях приборов учета </w:t>
      </w:r>
      <w:r>
        <w:rPr>
          <w:color w:themeColor="text1" w:val="000000"/>
          <w:sz w:val="20"/>
        </w:rPr>
        <w:t>без заблаговременного уведомления</w:t>
      </w:r>
      <w:r>
        <w:rPr>
          <w:sz w:val="20"/>
        </w:rPr>
        <w:t>, но не чаще 1 раза в 3 месяца.</w:t>
      </w:r>
    </w:p>
    <w:p w14:paraId="26000000">
      <w:pPr>
        <w:pStyle w:val="Style_3"/>
        <w:ind/>
        <w:jc w:val="both"/>
        <w:rPr>
          <w:sz w:val="20"/>
        </w:rPr>
      </w:pPr>
      <w:r>
        <w:rPr>
          <w:sz w:val="20"/>
        </w:rPr>
        <w:t>4.1.5. Не причинять вреда внутридомовым системам водоснабжения, не открывать, не закрывать без ведома Водоканала  задвижки и вентили, находящиеся на балансе Водоканала.</w:t>
      </w:r>
    </w:p>
    <w:p w14:paraId="27000000">
      <w:pPr>
        <w:pStyle w:val="Style_3"/>
        <w:ind/>
        <w:jc w:val="both"/>
        <w:rPr>
          <w:sz w:val="20"/>
        </w:rPr>
      </w:pPr>
      <w:r>
        <w:rPr>
          <w:sz w:val="20"/>
        </w:rPr>
        <w:t>4.1.6. Информировать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прибором учета.</w:t>
      </w:r>
    </w:p>
    <w:p w14:paraId="28000000">
      <w:pPr>
        <w:pStyle w:val="Style_3"/>
        <w:ind w:right="2800"/>
        <w:jc w:val="both"/>
        <w:rPr>
          <w:b w:val="1"/>
          <w:sz w:val="20"/>
        </w:rPr>
      </w:pPr>
      <w:r>
        <w:rPr>
          <w:sz w:val="20"/>
        </w:rPr>
        <w:t>4.2.</w:t>
      </w:r>
      <w:r>
        <w:rPr>
          <w:b w:val="1"/>
          <w:sz w:val="20"/>
        </w:rPr>
        <w:t xml:space="preserve"> Абонент имеет право:</w:t>
      </w:r>
    </w:p>
    <w:p w14:paraId="29000000">
      <w:pPr>
        <w:pStyle w:val="Style_3"/>
        <w:ind/>
        <w:jc w:val="both"/>
        <w:rPr>
          <w:sz w:val="20"/>
        </w:rPr>
      </w:pPr>
      <w:r>
        <w:rPr>
          <w:sz w:val="20"/>
        </w:rPr>
        <w:t>4.2.1. На получение услуг установленного качества, безопасного для его жизни и здоровья.</w:t>
      </w:r>
    </w:p>
    <w:p w14:paraId="2A000000">
      <w:pPr>
        <w:pStyle w:val="Style_3"/>
        <w:ind/>
        <w:jc w:val="both"/>
        <w:rPr>
          <w:sz w:val="20"/>
        </w:rPr>
      </w:pPr>
      <w:r>
        <w:rPr>
          <w:sz w:val="20"/>
        </w:rPr>
        <w:t>4.2.2. Получать от Водоканала информацию об изменении установленных тарифов на питьевую воду.</w:t>
      </w:r>
    </w:p>
    <w:p w14:paraId="2B000000">
      <w:pPr>
        <w:pStyle w:val="Style_3"/>
        <w:ind/>
        <w:jc w:val="both"/>
        <w:rPr>
          <w:sz w:val="20"/>
        </w:rPr>
      </w:pPr>
      <w:r>
        <w:rPr>
          <w:sz w:val="20"/>
        </w:rPr>
        <w:t>4.2.3. Не производить оплату услуг на время перерывов, сверх установленных Постановлением №354.</w:t>
      </w:r>
    </w:p>
    <w:p w14:paraId="2C000000">
      <w:pPr>
        <w:pStyle w:val="Style_3"/>
        <w:ind/>
        <w:jc w:val="both"/>
        <w:rPr>
          <w:sz w:val="20"/>
        </w:rPr>
      </w:pPr>
      <w:r>
        <w:rPr>
          <w:sz w:val="20"/>
        </w:rPr>
        <w:t xml:space="preserve">4.2.4. Осуществлять иные права, предоставленные Абоненту по настоящему договору и в соответствии с законодательством Российской Федерации. </w:t>
      </w:r>
    </w:p>
    <w:p w14:paraId="2D000000">
      <w:pPr>
        <w:pStyle w:val="Style_3"/>
        <w:ind/>
        <w:jc w:val="center"/>
        <w:rPr>
          <w:b w:val="1"/>
          <w:sz w:val="20"/>
        </w:rPr>
      </w:pPr>
      <w:r>
        <w:rPr>
          <w:b w:val="1"/>
          <w:sz w:val="20"/>
        </w:rPr>
        <w:t>5. ПОРЯДОК ОПРЕДЕЛЕНИЯ ОБЪЕМА ВОДОПОТРЕБЛЕНИЯ</w:t>
      </w:r>
    </w:p>
    <w:p w14:paraId="2E000000">
      <w:pPr>
        <w:pStyle w:val="Style_3"/>
        <w:ind/>
        <w:jc w:val="both"/>
        <w:rPr>
          <w:sz w:val="20"/>
        </w:rPr>
      </w:pPr>
      <w:r>
        <w:rPr>
          <w:sz w:val="20"/>
        </w:rPr>
        <w:t xml:space="preserve">5.1. При наличии индивидуальных приборов учета объем водопотребления определяется исходя из показаний приборов учета. Исправным считается прибор учета, прошедший госповерку в установленный срок. Снятие показаний индивидуальных приборов учета производится Абонентом ежемесячно и указывается им в извещении об оплате или передаются по телефонам </w:t>
      </w:r>
      <w:r>
        <w:rPr>
          <w:b w:val="1"/>
          <w:sz w:val="20"/>
        </w:rPr>
        <w:t>2-17-15, 3-99-15.</w:t>
      </w:r>
      <w:r>
        <w:rPr>
          <w:sz w:val="20"/>
        </w:rPr>
        <w:t xml:space="preserve"> Водоканал вправе осуществлять контроль за снятием показаний приборов учета.</w:t>
      </w:r>
    </w:p>
    <w:p w14:paraId="2F000000">
      <w:pPr>
        <w:pStyle w:val="Style_3"/>
        <w:ind/>
        <w:jc w:val="both"/>
        <w:rPr>
          <w:sz w:val="20"/>
        </w:rPr>
      </w:pPr>
      <w:r>
        <w:rPr>
          <w:sz w:val="20"/>
        </w:rPr>
        <w:t>5.2. При отсутствии индивидуальных приборов учета холодной воды объем водопотребления определяется по утвержденным нормам потребления коммунального ресурса.</w:t>
      </w:r>
    </w:p>
    <w:p w14:paraId="30000000">
      <w:pPr>
        <w:pStyle w:val="Style_3"/>
        <w:ind/>
        <w:jc w:val="both"/>
        <w:rPr>
          <w:sz w:val="20"/>
        </w:rPr>
      </w:pPr>
      <w:r>
        <w:rPr>
          <w:sz w:val="20"/>
        </w:rPr>
        <w:t>5.3. Объемы водоснабжения на хозяйственные нужды оплачиваются по нормативам, установленным для хозяйственных нужд населения (полив, содержание скота и др. нужды).</w:t>
      </w:r>
      <w:r>
        <w:rPr>
          <w:b w:val="1"/>
          <w:sz w:val="20"/>
        </w:rPr>
        <w:t xml:space="preserve"> </w:t>
      </w:r>
    </w:p>
    <w:p w14:paraId="31000000">
      <w:pPr>
        <w:pStyle w:val="Style_3"/>
        <w:ind/>
        <w:jc w:val="both"/>
        <w:rPr>
          <w:sz w:val="20"/>
        </w:rPr>
      </w:pPr>
      <w:r>
        <w:rPr>
          <w:sz w:val="20"/>
        </w:rPr>
        <w:t>5.4. Период поливного сезона для населения, использующего питьевую воду из системы городского водоснабжения на полив приусадебных участков, устанавливается с 01 мая по 31 июля календарного года.</w:t>
      </w:r>
    </w:p>
    <w:p w14:paraId="32000000">
      <w:pPr>
        <w:pStyle w:val="Style_3"/>
        <w:ind/>
        <w:jc w:val="both"/>
        <w:rPr>
          <w:sz w:val="20"/>
        </w:rPr>
      </w:pPr>
      <w:r>
        <w:rPr>
          <w:sz w:val="20"/>
        </w:rPr>
        <w:t>5.5. Поливная площадь определяется в течение поливного сезона и проверяется контролером или инспектором. Поливная площадь, виды и количество сельскохозяйственных животных и птиц, режим водопотребления на полив земельного участка содержатся в Приложении №2 настоящего договора.</w:t>
      </w:r>
      <w:r>
        <w:rPr>
          <w:b w:val="1"/>
          <w:sz w:val="20"/>
        </w:rPr>
        <w:t xml:space="preserve">  </w:t>
      </w:r>
    </w:p>
    <w:p w14:paraId="33000000">
      <w:pPr>
        <w:pStyle w:val="Style_3"/>
        <w:ind/>
        <w:jc w:val="center"/>
        <w:rPr>
          <w:b w:val="1"/>
          <w:sz w:val="20"/>
        </w:rPr>
      </w:pPr>
      <w:r>
        <w:rPr>
          <w:b w:val="1"/>
          <w:sz w:val="20"/>
        </w:rPr>
        <w:t>6. ПОРЯДОК УСТАНОВКИ И ЭКСПЛУАТАЦИИ ИНДИВИДУАЛЬНЫХ ПРИБОРОВ УЧЕТА</w:t>
      </w:r>
    </w:p>
    <w:p w14:paraId="34000000">
      <w:pPr>
        <w:pStyle w:val="Style_3"/>
        <w:ind/>
        <w:jc w:val="both"/>
        <w:rPr>
          <w:b w:val="1"/>
          <w:sz w:val="20"/>
        </w:rPr>
      </w:pPr>
      <w:r>
        <w:rPr>
          <w:sz w:val="20"/>
        </w:rPr>
        <w:t>6.1.</w:t>
      </w:r>
      <w:r>
        <w:rPr>
          <w:b w:val="1"/>
          <w:sz w:val="20"/>
        </w:rPr>
        <w:t xml:space="preserve">  Для установки Абонентом индивидуального прибора учета необходимо:</w:t>
      </w:r>
    </w:p>
    <w:p w14:paraId="35000000">
      <w:pPr>
        <w:pStyle w:val="Style_3"/>
        <w:ind/>
        <w:jc w:val="both"/>
        <w:rPr>
          <w:sz w:val="20"/>
        </w:rPr>
      </w:pPr>
      <w:r>
        <w:rPr>
          <w:sz w:val="20"/>
        </w:rPr>
        <w:t>6.1.1. Получить рекомендации по выбору индивидуального прибора учета.</w:t>
      </w:r>
    </w:p>
    <w:p w14:paraId="36000000">
      <w:pPr>
        <w:pStyle w:val="Style_3"/>
        <w:ind/>
        <w:jc w:val="both"/>
        <w:rPr>
          <w:sz w:val="20"/>
        </w:rPr>
      </w:pPr>
      <w:r>
        <w:rPr>
          <w:sz w:val="20"/>
        </w:rPr>
        <w:t>6.1.2. Установить за свой счет исправный индивидуальный прибор учета, прошедший госповерку.</w:t>
      </w:r>
    </w:p>
    <w:p w14:paraId="37000000">
      <w:pPr>
        <w:pStyle w:val="Style_3"/>
        <w:ind/>
        <w:jc w:val="both"/>
        <w:rPr>
          <w:sz w:val="20"/>
        </w:rPr>
      </w:pPr>
      <w:r>
        <w:rPr>
          <w:sz w:val="20"/>
        </w:rPr>
        <w:t>6.1.3. Предоставить представителю Водоканала узел учета воды для его регистрации и опломбирования.</w:t>
      </w:r>
    </w:p>
    <w:p w14:paraId="38000000">
      <w:pPr>
        <w:pStyle w:val="Style_3"/>
        <w:ind/>
        <w:jc w:val="both"/>
        <w:rPr>
          <w:b w:val="1"/>
          <w:sz w:val="20"/>
        </w:rPr>
      </w:pPr>
      <w:r>
        <w:rPr>
          <w:sz w:val="20"/>
        </w:rPr>
        <w:t>6.2.</w:t>
      </w:r>
      <w:r>
        <w:rPr>
          <w:b w:val="1"/>
          <w:sz w:val="20"/>
        </w:rPr>
        <w:t xml:space="preserve"> Условия эксплуатации  индивидуального прибора учета Абонентом:</w:t>
      </w:r>
    </w:p>
    <w:p w14:paraId="39000000">
      <w:pPr>
        <w:pStyle w:val="Style_3"/>
        <w:ind/>
        <w:jc w:val="both"/>
        <w:rPr>
          <w:sz w:val="20"/>
        </w:rPr>
      </w:pPr>
      <w:r>
        <w:rPr>
          <w:sz w:val="20"/>
        </w:rPr>
        <w:t>6.2.1.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РФ об обеспечении единства измерений.</w:t>
      </w:r>
    </w:p>
    <w:p w14:paraId="3A000000">
      <w:pPr>
        <w:pStyle w:val="Style_3"/>
        <w:ind/>
        <w:jc w:val="both"/>
        <w:rPr>
          <w:sz w:val="20"/>
        </w:rPr>
      </w:pPr>
      <w:r>
        <w:rPr>
          <w:sz w:val="20"/>
        </w:rPr>
        <w:t>6.2.2.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14:paraId="3B000000">
      <w:pPr>
        <w:pStyle w:val="Style_4"/>
        <w:ind/>
        <w:jc w:val="both"/>
        <w:rPr>
          <w:rFonts w:ascii="Times New Roman" w:hAnsi="Times New Roman"/>
        </w:rPr>
      </w:pPr>
      <w:r>
        <w:rPr>
          <w:rFonts w:ascii="Times New Roman" w:hAnsi="Times New Roman"/>
        </w:rPr>
        <w:t>6.2.3.</w:t>
      </w:r>
      <w:r>
        <w:rPr>
          <w:rFonts w:ascii="Times New Roman" w:hAnsi="Times New Roman"/>
        </w:rPr>
        <w:t xml:space="preserve"> </w:t>
      </w:r>
      <w:r>
        <w:rPr>
          <w:rFonts w:ascii="Times New Roman" w:hAnsi="Times New Roman"/>
        </w:rPr>
        <w:t xml:space="preserve">При проведении исполнителем проверки состояния прибора учета </w:t>
      </w:r>
      <w:r>
        <w:rPr>
          <w:rFonts w:ascii="Times New Roman" w:hAnsi="Times New Roman"/>
        </w:rPr>
        <w:t>обследованию</w:t>
      </w:r>
      <w:r>
        <w:rPr>
          <w:rFonts w:ascii="Times New Roman" w:hAnsi="Times New Roman"/>
        </w:rPr>
        <w:t xml:space="preserve"> подлежат:</w:t>
      </w:r>
    </w:p>
    <w:p w14:paraId="3C000000">
      <w:pPr>
        <w:pStyle w:val="Style_4"/>
        <w:ind/>
        <w:jc w:val="both"/>
        <w:rPr>
          <w:rFonts w:ascii="Times New Roman" w:hAnsi="Times New Roman"/>
        </w:rPr>
      </w:pPr>
      <w:r>
        <w:rPr>
          <w:rFonts w:ascii="Times New Roman" w:hAnsi="Times New Roman"/>
        </w:rPr>
        <w:t xml:space="preserve">- </w:t>
      </w:r>
      <w:r>
        <w:rPr>
          <w:rFonts w:ascii="Times New Roman" w:hAnsi="Times New Roman"/>
        </w:rP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14:paraId="3D000000">
      <w:pPr>
        <w:pStyle w:val="Style_4"/>
        <w:ind/>
        <w:jc w:val="both"/>
        <w:rPr>
          <w:rFonts w:ascii="Times New Roman" w:hAnsi="Times New Roman"/>
        </w:rPr>
      </w:pPr>
      <w:r>
        <w:rPr>
          <w:rFonts w:ascii="Times New Roman" w:hAnsi="Times New Roman"/>
        </w:rPr>
        <w:t xml:space="preserve">- </w:t>
      </w:r>
      <w:r>
        <w:rPr>
          <w:rFonts w:ascii="Times New Roman" w:hAnsi="Times New Roman"/>
        </w:rP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14:paraId="3E000000">
      <w:pPr>
        <w:pStyle w:val="Style_4"/>
        <w:ind/>
        <w:jc w:val="both"/>
        <w:rPr>
          <w:rFonts w:ascii="Times New Roman" w:hAnsi="Times New Roman"/>
        </w:rPr>
      </w:pPr>
      <w:r>
        <w:rPr>
          <w:rFonts w:ascii="Times New Roman" w:hAnsi="Times New Roman"/>
        </w:rPr>
        <w:t xml:space="preserve">- </w:t>
      </w:r>
      <w:r>
        <w:rPr>
          <w:rFonts w:ascii="Times New Roman" w:hAnsi="Times New Roman"/>
        </w:rP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14:paraId="3F000000">
      <w:pPr>
        <w:pStyle w:val="Style_4"/>
        <w:ind w:firstLine="426" w:left="0"/>
        <w:jc w:val="both"/>
        <w:rPr>
          <w:rFonts w:ascii="Times New Roman" w:hAnsi="Times New Roman"/>
        </w:rPr>
      </w:pPr>
      <w:r>
        <w:rPr>
          <w:rFonts w:ascii="Times New Roman" w:hAnsi="Times New Roman"/>
        </w:rPr>
        <w:t xml:space="preserve">Нарушение </w:t>
      </w:r>
      <w:r>
        <w:rPr>
          <w:rFonts w:ascii="Times New Roman" w:hAnsi="Times New Roman"/>
        </w:rPr>
        <w:t xml:space="preserve">данных </w:t>
      </w:r>
      <w:r>
        <w:rPr>
          <w:rFonts w:ascii="Times New Roman" w:hAnsi="Times New Roman"/>
        </w:rPr>
        <w:t>показателей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14:paraId="40000000">
      <w:pPr>
        <w:pStyle w:val="Style_4"/>
        <w:ind w:firstLine="426" w:left="0"/>
        <w:jc w:val="both"/>
        <w:rPr>
          <w:rFonts w:ascii="Times New Roman" w:hAnsi="Times New Roman"/>
        </w:rPr>
      </w:pPr>
      <w:r>
        <w:rPr>
          <w:rFonts w:ascii="Times New Roman" w:hAnsi="Times New Roman"/>
        </w:rPr>
        <w:t xml:space="preserve">Акт о несанкционированном вмешательстве в работу прибора учета составляется в порядке, установленном </w:t>
      </w:r>
      <w:r>
        <w:rPr>
          <w:rFonts w:ascii="Times New Roman" w:hAnsi="Times New Roman"/>
        </w:rPr>
        <w:t>Постановлением №354</w:t>
      </w:r>
      <w:r>
        <w:rPr>
          <w:rFonts w:ascii="Times New Roman" w:hAnsi="Times New Roman"/>
        </w:rPr>
        <w:t>.</w:t>
      </w:r>
    </w:p>
    <w:p w14:paraId="41000000">
      <w:pPr>
        <w:pStyle w:val="Style_4"/>
        <w:ind w:firstLine="426" w:left="0"/>
        <w:jc w:val="both"/>
        <w:rPr>
          <w:rFonts w:ascii="Times New Roman" w:hAnsi="Times New Roman"/>
        </w:rPr>
      </w:pPr>
      <w:r>
        <w:rPr>
          <w:rFonts w:ascii="Times New Roman" w:hAnsi="Times New Roman"/>
        </w:rP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14:paraId="42000000">
      <w:pPr>
        <w:pStyle w:val="Style_4"/>
        <w:ind w:firstLine="426" w:left="0"/>
        <w:jc w:val="both"/>
        <w:rPr>
          <w:rFonts w:ascii="Times New Roman" w:hAnsi="Times New Roman"/>
        </w:rPr>
      </w:pPr>
      <w:r>
        <w:rPr>
          <w:rFonts w:ascii="Times New Roman" w:hAnsi="Times New Roman"/>
        </w:rPr>
        <w:t>Стоимость потребления коммунальных ресурсов при несанкционированном вмешательстве потребителем в работу прибора учета взыскивается исполнителем.</w:t>
      </w:r>
    </w:p>
    <w:p w14:paraId="43000000">
      <w:pPr>
        <w:pStyle w:val="Style_3"/>
        <w:ind/>
        <w:jc w:val="both"/>
        <w:rPr>
          <w:sz w:val="20"/>
        </w:rPr>
      </w:pPr>
      <w:r>
        <w:rPr>
          <w:sz w:val="20"/>
        </w:rPr>
        <w:t>6.2.4. Прибор учета считается вышедшим из строя в случаях:</w:t>
      </w:r>
    </w:p>
    <w:p w14:paraId="44000000">
      <w:pPr>
        <w:pStyle w:val="Style_4"/>
        <w:ind/>
        <w:jc w:val="both"/>
        <w:rPr>
          <w:rFonts w:ascii="Times New Roman" w:hAnsi="Times New Roman"/>
        </w:rPr>
      </w:pPr>
      <w:r>
        <w:rPr>
          <w:rFonts w:ascii="Times New Roman" w:hAnsi="Times New Roman"/>
        </w:rPr>
        <w:t>а) неотображения приборами учета результатов измерений;</w:t>
      </w:r>
    </w:p>
    <w:p w14:paraId="45000000">
      <w:pPr>
        <w:pStyle w:val="Style_4"/>
        <w:ind/>
        <w:jc w:val="both"/>
        <w:rPr>
          <w:rFonts w:ascii="Times New Roman" w:hAnsi="Times New Roman"/>
        </w:rPr>
      </w:pPr>
      <w:r>
        <w:rPr>
          <w:rFonts w:ascii="Times New Roman" w:hAnsi="Times New Roman"/>
        </w:rPr>
        <w:t>б) нарушения контрольных пломб и (или) знаков поверки;</w:t>
      </w:r>
    </w:p>
    <w:p w14:paraId="46000000">
      <w:pPr>
        <w:pStyle w:val="Style_4"/>
        <w:ind/>
        <w:jc w:val="both"/>
        <w:rPr>
          <w:rFonts w:ascii="Times New Roman" w:hAnsi="Times New Roman"/>
        </w:rPr>
      </w:pPr>
      <w:r>
        <w:rPr>
          <w:rFonts w:ascii="Times New Roman" w:hAnsi="Times New Roman"/>
        </w:rPr>
        <w:t>в) механического повреждения прибора учета;</w:t>
      </w:r>
    </w:p>
    <w:p w14:paraId="47000000">
      <w:pPr>
        <w:pStyle w:val="Style_4"/>
        <w:ind/>
        <w:jc w:val="both"/>
        <w:rPr>
          <w:rFonts w:ascii="Times New Roman" w:hAnsi="Times New Roman"/>
        </w:rPr>
      </w:pPr>
      <w:r>
        <w:rPr>
          <w:rFonts w:ascii="Times New Roman" w:hAnsi="Times New Roman"/>
        </w:rPr>
        <w:t>г) превышения допустимой погрешности показаний прибора учета;</w:t>
      </w:r>
    </w:p>
    <w:p w14:paraId="48000000">
      <w:pPr>
        <w:pStyle w:val="Style_3"/>
        <w:ind/>
        <w:jc w:val="both"/>
        <w:rPr>
          <w:sz w:val="20"/>
        </w:rPr>
      </w:pPr>
      <w:r>
        <w:rPr>
          <w:sz w:val="20"/>
        </w:rPr>
        <w:t xml:space="preserve">д) истечения межповерочного интервала поверки приборов учета.  </w:t>
      </w:r>
    </w:p>
    <w:p w14:paraId="49000000">
      <w:pPr>
        <w:pStyle w:val="Style_4"/>
        <w:ind/>
        <w:jc w:val="both"/>
        <w:rPr>
          <w:rFonts w:ascii="Times New Roman" w:hAnsi="Times New Roman"/>
        </w:rPr>
      </w:pPr>
      <w:r>
        <w:rPr>
          <w:rFonts w:ascii="Times New Roman" w:hAnsi="Times New Roman"/>
        </w:rPr>
        <w:t>6.2.5.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14:paraId="4A000000">
      <w:pPr>
        <w:pStyle w:val="Style_4"/>
        <w:ind/>
        <w:jc w:val="both"/>
        <w:rPr>
          <w:rFonts w:ascii="Times New Roman" w:hAnsi="Times New Roman"/>
        </w:rPr>
      </w:pPr>
      <w:r>
        <w:rPr>
          <w:rFonts w:ascii="Times New Roman" w:hAnsi="Times New Roman"/>
        </w:rPr>
        <w:t>6.2.6. Ввод в эксплуатацию прибора учета после его ремонта, замены и поверки осуществляется в порядке, предусмотренном Постановлением №354.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14:paraId="4B000000">
      <w:pPr>
        <w:pStyle w:val="Style_3"/>
        <w:ind/>
        <w:jc w:val="both"/>
        <w:rPr>
          <w:sz w:val="20"/>
        </w:rPr>
      </w:pPr>
      <w:r>
        <w:rPr>
          <w:sz w:val="20"/>
        </w:rPr>
        <w:t>6.2.7. Сведения о приборах учета холодной воды содержатся в форме, приведенной в Приложении №1 к настоящему договору.</w:t>
      </w:r>
      <w:r>
        <w:rPr>
          <w:b w:val="1"/>
          <w:sz w:val="20"/>
        </w:rPr>
        <w:t xml:space="preserve"> </w:t>
      </w:r>
    </w:p>
    <w:p w14:paraId="4C000000">
      <w:pPr>
        <w:pStyle w:val="Style_3"/>
        <w:ind/>
        <w:jc w:val="center"/>
        <w:rPr>
          <w:b w:val="1"/>
          <w:sz w:val="20"/>
        </w:rPr>
      </w:pPr>
      <w:r>
        <w:rPr>
          <w:b w:val="1"/>
          <w:sz w:val="20"/>
        </w:rPr>
        <w:t>7. ПОРЯДОК РАСЧЕТОВ ЗА ОТПУЩЕННУЮ ВОДУ</w:t>
      </w:r>
    </w:p>
    <w:p w14:paraId="4D000000">
      <w:pPr>
        <w:pStyle w:val="Style_3"/>
        <w:ind/>
        <w:jc w:val="both"/>
        <w:rPr>
          <w:sz w:val="20"/>
        </w:rPr>
      </w:pPr>
      <w:r>
        <w:rPr>
          <w:sz w:val="20"/>
        </w:rPr>
        <w:t>7.1. Плата за услуги водоснабжения вносится на основании счет-извещения, представляемой Абон</w:t>
      </w:r>
      <w:r>
        <w:rPr>
          <w:sz w:val="20"/>
        </w:rPr>
        <w:t>енту на адрес, указанный в настоящем</w:t>
      </w:r>
      <w:r>
        <w:rPr>
          <w:sz w:val="20"/>
        </w:rPr>
        <w:t xml:space="preserve"> договор</w:t>
      </w:r>
      <w:r>
        <w:rPr>
          <w:sz w:val="20"/>
        </w:rPr>
        <w:t>е</w:t>
      </w:r>
      <w:r>
        <w:rPr>
          <w:sz w:val="20"/>
        </w:rPr>
        <w:t>,</w:t>
      </w:r>
      <w:r>
        <w:rPr>
          <w:sz w:val="20"/>
        </w:rPr>
        <w:t xml:space="preserve"> не позднее 1-го числа месяца, следующего за истекшим расчетным периодом. Оплата  </w:t>
      </w:r>
      <w:r>
        <w:rPr>
          <w:sz w:val="20"/>
        </w:rPr>
        <w:t>вносится в кассу Водоканала (г.Нефтекамск, ул.Чапаева, д.</w:t>
      </w:r>
      <w:r>
        <w:rPr>
          <w:sz w:val="20"/>
        </w:rPr>
        <w:t>5) или на расчетный счет, указанный в счет-извещении.</w:t>
      </w:r>
    </w:p>
    <w:p w14:paraId="4E000000">
      <w:pPr>
        <w:pStyle w:val="Style_3"/>
        <w:ind/>
        <w:jc w:val="both"/>
        <w:rPr>
          <w:sz w:val="20"/>
        </w:rPr>
      </w:pPr>
      <w:r>
        <w:rPr>
          <w:sz w:val="20"/>
        </w:rPr>
        <w:t>7.2. Абонент обязан оплачивать Водоканалу объемы водопотребления в срок до 10 числа каждого месяца, следующего за расчетным. Оплата водопотребления производится Абонентом по тарифам, устанавливаемым в соответствии с действующим законодательством. Тарифы в течение срока действия договора могут быть изменены на основании нормативных актов, принятых в установленном законодательством порядке.</w:t>
      </w:r>
    </w:p>
    <w:p w14:paraId="4F000000">
      <w:pPr>
        <w:pStyle w:val="Style_3"/>
        <w:ind/>
        <w:jc w:val="both"/>
        <w:rPr>
          <w:sz w:val="20"/>
        </w:rPr>
      </w:pPr>
      <w:r>
        <w:rPr>
          <w:sz w:val="20"/>
        </w:rPr>
        <w:t>7.3. При временном (более 5 полных календарных дней подряд) отсутствии потребителя в жилом помещении, не оборудованном прибором учета в связи с отсутствием технической возможности его установки, подтвержденной в установленном порядке, осуществляется перерасчет размера платы за холодное водоснабжение. Если жилое помещение не оборудовано прибором учета и при этом отсутствие технической возможности его установки не подтверждено в установ</w:t>
      </w:r>
      <w:r>
        <w:rPr>
          <w:sz w:val="20"/>
        </w:rPr>
        <w:t>ленном порядке либо в случае не</w:t>
      </w:r>
      <w:r>
        <w:rPr>
          <w:sz w:val="20"/>
        </w:rPr>
        <w:t>исправности прибора учета в жилом помещении и неисполнения потребителем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14:paraId="50000000">
      <w:pPr>
        <w:pStyle w:val="Style_3"/>
        <w:ind w:firstLine="426" w:left="0"/>
        <w:jc w:val="both"/>
        <w:rPr>
          <w:sz w:val="20"/>
        </w:rPr>
      </w:pPr>
      <w:r>
        <w:rPr>
          <w:sz w:val="20"/>
        </w:rPr>
        <w:t>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14:paraId="51000000">
      <w:pPr>
        <w:pStyle w:val="Style_3"/>
        <w:ind w:firstLine="426" w:left="0"/>
        <w:jc w:val="both"/>
        <w:rPr>
          <w:sz w:val="20"/>
        </w:rPr>
      </w:pPr>
      <w:r>
        <w:rPr>
          <w:sz w:val="20"/>
        </w:rPr>
        <w:t>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 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 платы за коммунальные услуги.</w:t>
      </w:r>
    </w:p>
    <w:p w14:paraId="52000000">
      <w:pPr>
        <w:pStyle w:val="Style_3"/>
        <w:ind w:firstLine="426" w:left="0"/>
        <w:jc w:val="both"/>
        <w:rPr>
          <w:sz w:val="20"/>
        </w:rPr>
      </w:pPr>
      <w:r>
        <w:rPr>
          <w:sz w:val="20"/>
        </w:rPr>
        <w:t>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Постановлением №354 и вправе применить предусмотренные частью 14 ст.155 Жилищного кодекса РФ последствия несвоевременного и (или) неполного внесения платы за коммунальные услуги. 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14:paraId="53000000">
      <w:pPr>
        <w:pStyle w:val="Style_1"/>
        <w:tabs>
          <w:tab w:leader="none" w:pos="284" w:val="left"/>
          <w:tab w:leader="none" w:pos="567" w:val="left"/>
          <w:tab w:leader="none" w:pos="927" w:val="left"/>
        </w:tabs>
        <w:ind/>
        <w:jc w:val="both"/>
        <w:rPr>
          <w:sz w:val="20"/>
        </w:rPr>
      </w:pPr>
      <w:r>
        <w:rPr>
          <w:sz w:val="20"/>
        </w:rPr>
        <w:t>7.4.</w:t>
      </w:r>
      <w:r>
        <w:rPr>
          <w:sz w:val="20"/>
        </w:rPr>
        <w:t xml:space="preserve"> </w:t>
      </w:r>
      <w:r>
        <w:rPr>
          <w:sz w:val="20"/>
        </w:rPr>
        <w:t>Информация об изменении тарифов и нормативов потребления за услуги водоснабжения доводится Водоканалом до А</w:t>
      </w:r>
      <w:r>
        <w:rPr>
          <w:sz w:val="20"/>
        </w:rPr>
        <w:t>бонента</w:t>
      </w:r>
      <w:r>
        <w:rPr>
          <w:sz w:val="20"/>
        </w:rPr>
        <w:t xml:space="preserve"> в письменной форме не позднее чем за 10 дней до даты выставления платежных документов или через средства массовой информации.</w:t>
      </w:r>
    </w:p>
    <w:p w14:paraId="54000000">
      <w:pPr>
        <w:pStyle w:val="Style_3"/>
        <w:ind/>
        <w:jc w:val="both"/>
        <w:rPr>
          <w:sz w:val="20"/>
        </w:rPr>
      </w:pPr>
      <w:r>
        <w:rPr>
          <w:sz w:val="20"/>
        </w:rPr>
        <w:t>7.5. При отключении системы водоснабжения, вызванном аварийной ситуацией, угрожающей жизни людей, перерасчет размеров платежей не производится.</w:t>
      </w:r>
    </w:p>
    <w:p w14:paraId="55000000">
      <w:pPr>
        <w:pStyle w:val="Style_3"/>
        <w:ind/>
        <w:jc w:val="center"/>
        <w:rPr>
          <w:b w:val="1"/>
          <w:sz w:val="20"/>
        </w:rPr>
      </w:pPr>
      <w:r>
        <w:rPr>
          <w:b w:val="1"/>
          <w:sz w:val="20"/>
        </w:rPr>
        <w:t>8. ОТВЕТСТВЕННОСТЬ СТОРОН</w:t>
      </w:r>
    </w:p>
    <w:p w14:paraId="56000000">
      <w:pPr>
        <w:pStyle w:val="Style_2"/>
        <w:tabs>
          <w:tab w:leader="none" w:pos="60" w:val="left"/>
        </w:tabs>
        <w:spacing w:line="240" w:lineRule="auto"/>
        <w:ind w:firstLine="0" w:left="0"/>
        <w:jc w:val="both"/>
        <w:rPr>
          <w:rFonts w:ascii="Times New Roman" w:hAnsi="Times New Roman"/>
        </w:rPr>
      </w:pPr>
      <w:r>
        <w:rPr>
          <w:rFonts w:ascii="Times New Roman" w:hAnsi="Times New Roman"/>
        </w:rPr>
        <w:t xml:space="preserve">8.1. </w:t>
      </w:r>
      <w:r>
        <w:rPr>
          <w:rFonts w:ascii="Times New Roman" w:hAnsi="Times New Roman"/>
          <w:b w:val="1"/>
        </w:rPr>
        <w:t>Ответственность Водоканала</w:t>
      </w:r>
      <w:r>
        <w:rPr>
          <w:rFonts w:ascii="Times New Roman" w:hAnsi="Times New Roman"/>
        </w:rPr>
        <w:t>:</w:t>
      </w:r>
    </w:p>
    <w:p w14:paraId="57000000">
      <w:pPr>
        <w:pStyle w:val="Style_2"/>
        <w:tabs>
          <w:tab w:leader="none" w:pos="60" w:val="left"/>
        </w:tabs>
        <w:spacing w:line="240" w:lineRule="auto"/>
        <w:ind w:firstLine="0" w:left="0"/>
        <w:jc w:val="both"/>
        <w:rPr>
          <w:rFonts w:ascii="Times New Roman" w:hAnsi="Times New Roman"/>
        </w:rPr>
      </w:pPr>
      <w:r>
        <w:rPr>
          <w:rFonts w:ascii="Times New Roman" w:hAnsi="Times New Roman"/>
          <w:b w:val="1"/>
        </w:rPr>
        <w:t>-</w:t>
      </w:r>
      <w:r>
        <w:rPr>
          <w:rFonts w:ascii="Times New Roman" w:hAnsi="Times New Roman"/>
        </w:rPr>
        <w:t xml:space="preserve"> в случае  изменения размера платы за услуги водоснабжения при предоставлении ненадлежащего качества и (или) с перерывами, превышающими установленную продолжительность, а также при перерывах в предоставлении услуг для </w:t>
      </w:r>
      <w:r>
        <w:rPr>
          <w:rFonts w:ascii="Times New Roman" w:hAnsi="Times New Roman"/>
        </w:rPr>
        <w:t xml:space="preserve">проведения ремонтных и профилактических работ в пределах установленной продолжительности перерывов производится перерасчет в соответствии с разделами </w:t>
      </w:r>
      <w:r>
        <w:rPr>
          <w:rFonts w:ascii="Times New Roman" w:hAnsi="Times New Roman"/>
        </w:rPr>
        <w:t>I</w:t>
      </w:r>
      <w:r>
        <w:rPr>
          <w:rFonts w:ascii="Times New Roman" w:hAnsi="Times New Roman"/>
        </w:rPr>
        <w:t>Х,Х Постановления  №354</w:t>
      </w:r>
      <w:r>
        <w:rPr>
          <w:rFonts w:ascii="Times New Roman" w:hAnsi="Times New Roman"/>
        </w:rPr>
        <w:t>.</w:t>
      </w:r>
    </w:p>
    <w:p w14:paraId="58000000">
      <w:pPr>
        <w:pStyle w:val="Style_2"/>
        <w:tabs>
          <w:tab w:leader="none" w:pos="210" w:val="left"/>
          <w:tab w:leader="none" w:pos="255" w:val="left"/>
          <w:tab w:leader="none" w:pos="450" w:val="left"/>
          <w:tab w:leader="none" w:pos="525" w:val="left"/>
        </w:tabs>
        <w:spacing w:line="240" w:lineRule="auto"/>
        <w:ind w:firstLine="0" w:left="0"/>
        <w:jc w:val="both"/>
        <w:rPr>
          <w:rFonts w:ascii="Times New Roman" w:hAnsi="Times New Roman"/>
        </w:rPr>
      </w:pPr>
      <w:r>
        <w:rPr>
          <w:rFonts w:ascii="Times New Roman" w:hAnsi="Times New Roman"/>
        </w:rPr>
        <w:t xml:space="preserve">8.2. </w:t>
      </w:r>
      <w:r>
        <w:rPr>
          <w:rFonts w:ascii="Times New Roman" w:hAnsi="Times New Roman"/>
          <w:b w:val="1"/>
        </w:rPr>
        <w:t>Ответственность Абонента</w:t>
      </w:r>
      <w:r>
        <w:rPr>
          <w:rFonts w:ascii="Times New Roman" w:hAnsi="Times New Roman"/>
        </w:rPr>
        <w:t>:</w:t>
      </w:r>
    </w:p>
    <w:p w14:paraId="59000000">
      <w:pPr>
        <w:pStyle w:val="Style_2"/>
        <w:tabs>
          <w:tab w:leader="none" w:pos="210" w:val="left"/>
          <w:tab w:leader="none" w:pos="255" w:val="left"/>
          <w:tab w:leader="none" w:pos="450" w:val="left"/>
          <w:tab w:leader="none" w:pos="525" w:val="left"/>
        </w:tabs>
        <w:spacing w:line="240" w:lineRule="auto"/>
        <w:ind w:firstLine="0" w:left="0"/>
        <w:jc w:val="both"/>
        <w:rPr>
          <w:rFonts w:ascii="Times New Roman" w:hAnsi="Times New Roman"/>
        </w:rPr>
      </w:pPr>
      <w:r>
        <w:rPr>
          <w:rFonts w:ascii="Times New Roman" w:hAnsi="Times New Roman"/>
          <w:b w:val="1"/>
        </w:rPr>
        <w:t>-</w:t>
      </w:r>
      <w:r>
        <w:rPr>
          <w:rFonts w:ascii="Times New Roman" w:hAnsi="Times New Roman"/>
        </w:rPr>
        <w:t xml:space="preserve"> за несвоевременное внесение платежей, согласно настоящему договору, Абонент оплачивает Водоканалу пени в размере </w:t>
      </w:r>
      <w:r>
        <w:rPr>
          <w:rFonts w:ascii="Times New Roman" w:hAnsi="Times New Roman"/>
        </w:rPr>
        <w:t>одной трехсотой ставки рефинансирования ключевой ставки Центрального банка РФ, действующей на день фактической оплаты, от невыплаченной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РФ, действующей на</w:t>
      </w:r>
      <w:r>
        <w:rPr>
          <w:rFonts w:ascii="Times New Roman" w:hAnsi="Times New Roman"/>
        </w:rPr>
        <w:t xml:space="preserve"> день фактической оплаты, от не</w:t>
      </w:r>
      <w:r>
        <w:rPr>
          <w:rFonts w:ascii="Times New Roman" w:hAnsi="Times New Roman"/>
        </w:rPr>
        <w:t>выплаченной в срок суммы за каждый день просрочки;</w:t>
      </w:r>
    </w:p>
    <w:p w14:paraId="5A000000">
      <w:pPr>
        <w:pStyle w:val="Style_2"/>
        <w:tabs>
          <w:tab w:leader="none" w:pos="210" w:val="left"/>
          <w:tab w:leader="none" w:pos="255" w:val="left"/>
          <w:tab w:leader="none" w:pos="450" w:val="left"/>
          <w:tab w:leader="none" w:pos="525" w:val="left"/>
        </w:tabs>
        <w:spacing w:line="240" w:lineRule="auto"/>
        <w:ind w:firstLine="0" w:left="0"/>
        <w:jc w:val="both"/>
        <w:rPr>
          <w:rFonts w:ascii="Times New Roman" w:hAnsi="Times New Roman"/>
        </w:rPr>
      </w:pPr>
      <w:r>
        <w:rPr>
          <w:rFonts w:ascii="Times New Roman" w:hAnsi="Times New Roman"/>
        </w:rPr>
        <w:t>- ликвидацию последствий аварий на сетях, принадлежащих Водоканалу, происшедших по вине Абонента или совместно проживающих с ним членов семьи, обеспечивает Водоканал  за счет средств  Абонента.</w:t>
      </w:r>
    </w:p>
    <w:p w14:paraId="5B000000">
      <w:pPr>
        <w:pStyle w:val="Style_3"/>
        <w:ind/>
        <w:jc w:val="center"/>
        <w:rPr>
          <w:b w:val="1"/>
          <w:sz w:val="20"/>
        </w:rPr>
      </w:pPr>
      <w:r>
        <w:rPr>
          <w:b w:val="1"/>
          <w:sz w:val="20"/>
        </w:rPr>
        <w:t>9. СРОК ДЕЙСТВИЯ ДОГОВОРА. ПОРЯДОК  РАЗРЕШЕНИЯ  СПОРОВ</w:t>
      </w:r>
    </w:p>
    <w:p w14:paraId="5C000000">
      <w:pPr>
        <w:pStyle w:val="Style_3"/>
        <w:ind/>
        <w:jc w:val="both"/>
        <w:rPr>
          <w:sz w:val="20"/>
        </w:rPr>
      </w:pPr>
      <w:r>
        <w:rPr>
          <w:sz w:val="20"/>
        </w:rPr>
        <w:t>9.1. Договор  действует с момента подписания сторонами до его расторжения в установленном законом порядке.</w:t>
      </w:r>
    </w:p>
    <w:p w14:paraId="5D000000">
      <w:pPr>
        <w:pStyle w:val="Style_3"/>
        <w:ind/>
        <w:jc w:val="both"/>
        <w:rPr>
          <w:sz w:val="20"/>
        </w:rPr>
      </w:pPr>
      <w:r>
        <w:rPr>
          <w:sz w:val="20"/>
        </w:rPr>
        <w:t>9.2. Настоящий договор является договором присоединения.</w:t>
      </w:r>
    </w:p>
    <w:p w14:paraId="5E000000">
      <w:pPr>
        <w:pStyle w:val="Style_3"/>
        <w:ind/>
        <w:jc w:val="both"/>
        <w:rPr>
          <w:sz w:val="20"/>
        </w:rPr>
      </w:pPr>
      <w:r>
        <w:rPr>
          <w:sz w:val="20"/>
        </w:rPr>
        <w:t>9.3. В течение срока действия договор может быть изменен по соглашению сторон.</w:t>
      </w:r>
    </w:p>
    <w:p w14:paraId="5F000000">
      <w:pPr>
        <w:pStyle w:val="Style_3"/>
        <w:ind/>
        <w:jc w:val="both"/>
        <w:rPr>
          <w:sz w:val="20"/>
        </w:rPr>
      </w:pPr>
      <w:r>
        <w:rPr>
          <w:sz w:val="20"/>
        </w:rPr>
        <w:t>9.4. Все споры по заключению, изменению и расторжению договора, а также его исполнению и взысканию с виновной стороны убытков и пени рассматриваются в судах общей юрисдикции в соответствии с действующим законодательством.</w:t>
      </w:r>
    </w:p>
    <w:p w14:paraId="60000000">
      <w:pPr>
        <w:pStyle w:val="Style_3"/>
        <w:ind/>
        <w:jc w:val="both"/>
        <w:rPr>
          <w:sz w:val="20"/>
        </w:rPr>
      </w:pPr>
      <w:r>
        <w:rPr>
          <w:sz w:val="20"/>
        </w:rPr>
        <w:t>9.5. Настоящий договор заключен сторонами как в интересах Абонента, так и членов его семьи и иных лиц, совместно с ним проживающих.</w:t>
      </w:r>
    </w:p>
    <w:p w14:paraId="61000000">
      <w:pPr>
        <w:pStyle w:val="Style_3"/>
        <w:ind/>
        <w:jc w:val="center"/>
        <w:rPr>
          <w:b w:val="1"/>
          <w:sz w:val="20"/>
        </w:rPr>
      </w:pPr>
      <w:r>
        <w:rPr>
          <w:b w:val="1"/>
          <w:sz w:val="20"/>
        </w:rPr>
        <w:t>10. ОСОБЫЕ УСЛОВИЯ</w:t>
      </w:r>
    </w:p>
    <w:p w14:paraId="62000000">
      <w:pPr>
        <w:pStyle w:val="Style_3"/>
        <w:ind/>
        <w:jc w:val="both"/>
        <w:rPr>
          <w:sz w:val="20"/>
        </w:rPr>
      </w:pPr>
      <w:r>
        <w:rPr>
          <w:sz w:val="20"/>
        </w:rPr>
        <w:t>10.1. Согласно Федеральному закону от 27.07.2006г. №152-ФЗ «О персональных данных» Абонент дает согласие на обработку персональных данных</w:t>
      </w:r>
      <w:r>
        <w:rPr>
          <w:sz w:val="20"/>
        </w:rPr>
        <w:t xml:space="preserve"> (в том числе</w:t>
      </w:r>
      <w:r>
        <w:rPr>
          <w:sz w:val="20"/>
        </w:rPr>
        <w:t xml:space="preserve"> фамили</w:t>
      </w:r>
      <w:r>
        <w:rPr>
          <w:sz w:val="20"/>
        </w:rPr>
        <w:t>и</w:t>
      </w:r>
      <w:r>
        <w:rPr>
          <w:sz w:val="20"/>
        </w:rPr>
        <w:t>, им</w:t>
      </w:r>
      <w:r>
        <w:rPr>
          <w:sz w:val="20"/>
        </w:rPr>
        <w:t>ени</w:t>
      </w:r>
      <w:r>
        <w:rPr>
          <w:sz w:val="20"/>
        </w:rPr>
        <w:t>, отчеств</w:t>
      </w:r>
      <w:r>
        <w:rPr>
          <w:sz w:val="20"/>
        </w:rPr>
        <w:t>а</w:t>
      </w:r>
      <w:r>
        <w:rPr>
          <w:sz w:val="20"/>
        </w:rPr>
        <w:t>, дат</w:t>
      </w:r>
      <w:r>
        <w:rPr>
          <w:sz w:val="20"/>
        </w:rPr>
        <w:t>ы</w:t>
      </w:r>
      <w:r>
        <w:rPr>
          <w:sz w:val="20"/>
        </w:rPr>
        <w:t xml:space="preserve"> </w:t>
      </w:r>
      <w:r>
        <w:rPr>
          <w:sz w:val="20"/>
        </w:rPr>
        <w:t xml:space="preserve">и места </w:t>
      </w:r>
      <w:r>
        <w:rPr>
          <w:sz w:val="20"/>
        </w:rPr>
        <w:t xml:space="preserve">рождения, </w:t>
      </w:r>
      <w:r>
        <w:rPr>
          <w:sz w:val="20"/>
        </w:rPr>
        <w:t xml:space="preserve">места жительства (регистрации), паспортных данных, ИНН, СНИЛС) </w:t>
      </w:r>
      <w:r>
        <w:rPr>
          <w:sz w:val="20"/>
        </w:rPr>
        <w:t>и предоставляет Водоканалу право осуществлять все действия (операции) с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14:paraId="63000000">
      <w:pPr>
        <w:pStyle w:val="Style_3"/>
        <w:ind/>
        <w:jc w:val="both"/>
        <w:rPr>
          <w:sz w:val="20"/>
        </w:rPr>
      </w:pPr>
      <w:r>
        <w:rPr>
          <w:sz w:val="20"/>
        </w:rPr>
        <w:t>10.2. Водоканал обязуется сохранять конфиденциальность полученных персональных данных Абонента, использовать персональные данные только для выполнения целей исполнения настоящего договора. Исполнитель несет ответственность за последствия, вызванные нарушением обязательств по конфиденциальности, независимо от того, было ли это нарушение совершено преднамеренно или случайно.</w:t>
      </w:r>
    </w:p>
    <w:p w14:paraId="64000000">
      <w:pPr>
        <w:pStyle w:val="Style_3"/>
        <w:ind/>
        <w:jc w:val="both"/>
        <w:rPr>
          <w:sz w:val="20"/>
        </w:rPr>
      </w:pPr>
      <w:r>
        <w:rPr>
          <w:sz w:val="20"/>
        </w:rPr>
        <w:t>10.3. Передача третьим лицам или иное разглашение полученных персональных данных Абонента, может осуществляться только с письменного согласия Абонента. Исключения из настоящего положения составляют случаи обязательного предоставления информации, предусмотренные действующими нормативно-правовыми актами.</w:t>
      </w:r>
    </w:p>
    <w:p w14:paraId="65000000">
      <w:pPr>
        <w:pStyle w:val="Style_3"/>
        <w:ind/>
        <w:jc w:val="center"/>
        <w:rPr>
          <w:b w:val="1"/>
          <w:sz w:val="20"/>
        </w:rPr>
      </w:pPr>
      <w:r>
        <w:rPr>
          <w:b w:val="1"/>
          <w:sz w:val="20"/>
        </w:rPr>
        <w:t>11. АНТИКОРРУПЦИОННАЯ ОГОВОРКА</w:t>
      </w:r>
    </w:p>
    <w:p w14:paraId="66000000">
      <w:pPr>
        <w:pStyle w:val="Style_3"/>
        <w:ind/>
        <w:jc w:val="both"/>
        <w:rPr>
          <w:sz w:val="20"/>
        </w:rPr>
      </w:pPr>
      <w:r>
        <w:rPr>
          <w:sz w:val="20"/>
        </w:rPr>
        <w:t xml:space="preserve">11.1. При исполнении своих обязательств по настоящему </w:t>
      </w:r>
      <w:r>
        <w:rPr>
          <w:sz w:val="20"/>
        </w:rPr>
        <w:t>д</w:t>
      </w:r>
      <w:r>
        <w:rPr>
          <w:sz w:val="20"/>
        </w:rPr>
        <w:t xml:space="preserve">оговору, </w:t>
      </w:r>
      <w:r>
        <w:rPr>
          <w:sz w:val="20"/>
        </w:rPr>
        <w:t>с</w:t>
      </w:r>
      <w:r>
        <w:rPr>
          <w:sz w:val="20"/>
        </w:rPr>
        <w:t>тороны, их аффилированные лица, работники или посредники</w:t>
      </w:r>
      <w:r>
        <w:rPr>
          <w:sz w:val="20"/>
        </w:rPr>
        <w:t>:</w:t>
      </w:r>
    </w:p>
    <w:p w14:paraId="67000000">
      <w:pPr>
        <w:pStyle w:val="Style_3"/>
        <w:ind/>
        <w:jc w:val="both"/>
        <w:rPr>
          <w:sz w:val="20"/>
        </w:rPr>
      </w:pPr>
      <w:r>
        <w:rPr>
          <w:sz w:val="20"/>
        </w:rPr>
        <w:t>а)</w:t>
      </w:r>
      <w:r>
        <w:rPr>
          <w:sz w:val="20"/>
        </w:rPr>
        <w:t xml:space="preserve">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r>
        <w:rPr>
          <w:sz w:val="20"/>
        </w:rPr>
        <w:t>;</w:t>
      </w:r>
    </w:p>
    <w:p w14:paraId="68000000">
      <w:pPr>
        <w:pStyle w:val="Style_3"/>
        <w:ind/>
        <w:jc w:val="both"/>
        <w:rPr>
          <w:sz w:val="20"/>
        </w:rPr>
      </w:pPr>
      <w:r>
        <w:rPr>
          <w:sz w:val="20"/>
        </w:rPr>
        <w:t xml:space="preserve">б) </w:t>
      </w:r>
      <w:r>
        <w:rPr>
          <w:sz w:val="20"/>
        </w:rPr>
        <w:t xml:space="preserve">не осуществляют действия, квалифицируемые применимым для целей настоящего </w:t>
      </w:r>
      <w:r>
        <w:rPr>
          <w:sz w:val="20"/>
        </w:rPr>
        <w:t>д</w:t>
      </w:r>
      <w:r>
        <w:rPr>
          <w:sz w:val="20"/>
        </w:rPr>
        <w:t>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69000000">
      <w:pPr>
        <w:pStyle w:val="Style_3"/>
        <w:ind/>
        <w:jc w:val="both"/>
        <w:rPr>
          <w:sz w:val="20"/>
        </w:rPr>
      </w:pPr>
      <w:r>
        <w:rPr>
          <w:sz w:val="20"/>
        </w:rPr>
        <w:t>11.</w:t>
      </w:r>
      <w:r>
        <w:rPr>
          <w:sz w:val="20"/>
        </w:rPr>
        <w:t>2.</w:t>
      </w:r>
      <w:r>
        <w:rPr>
          <w:sz w:val="20"/>
        </w:rPr>
        <w:t xml:space="preserve"> В случае возникновения у одной из </w:t>
      </w:r>
      <w:r>
        <w:rPr>
          <w:sz w:val="20"/>
        </w:rPr>
        <w:t>с</w:t>
      </w:r>
      <w:r>
        <w:rPr>
          <w:sz w:val="20"/>
        </w:rPr>
        <w:t xml:space="preserve">торон подозрений, что произошло или может произойти нарушение положений настоящего раздела </w:t>
      </w:r>
      <w:r>
        <w:rPr>
          <w:sz w:val="20"/>
        </w:rPr>
        <w:t>д</w:t>
      </w:r>
      <w:r>
        <w:rPr>
          <w:sz w:val="20"/>
        </w:rPr>
        <w:t xml:space="preserve">оговора, соответствующая </w:t>
      </w:r>
      <w:r>
        <w:rPr>
          <w:sz w:val="20"/>
        </w:rPr>
        <w:t>с</w:t>
      </w:r>
      <w:r>
        <w:rPr>
          <w:sz w:val="20"/>
        </w:rPr>
        <w:t xml:space="preserve">торона обязуется незамедлительно уведомить в письменной форме о ставшем известном факте неправомерных действий другую </w:t>
      </w:r>
      <w:r>
        <w:rPr>
          <w:sz w:val="20"/>
        </w:rPr>
        <w:t>с</w:t>
      </w:r>
      <w:r>
        <w:rPr>
          <w:sz w:val="20"/>
        </w:rPr>
        <w:t>торону, и при необходимости, по запросу предоставить дополнительные пояснения и необходимую информацию (документы).</w:t>
      </w:r>
      <w:r>
        <w:rPr>
          <w:b w:val="1"/>
          <w:sz w:val="20"/>
        </w:rPr>
        <w:t xml:space="preserve"> </w:t>
      </w:r>
      <w:r>
        <w:rPr>
          <w:b w:val="1"/>
          <w:sz w:val="20"/>
        </w:rPr>
        <w:t xml:space="preserve">     </w:t>
      </w:r>
    </w:p>
    <w:p w14:paraId="6A000000">
      <w:pPr>
        <w:pStyle w:val="Style_3"/>
        <w:ind/>
        <w:jc w:val="center"/>
        <w:rPr>
          <w:b w:val="1"/>
          <w:sz w:val="20"/>
        </w:rPr>
      </w:pPr>
      <w:r>
        <w:rPr>
          <w:b w:val="1"/>
          <w:sz w:val="20"/>
        </w:rPr>
        <w:t>12. АДРЕСА, РЕКВИЗИТЫ И ПОДПИСИ СТОРОН</w:t>
      </w:r>
    </w:p>
    <w:tbl>
      <w:tblPr>
        <w:tblStyle w:val="Style_5"/>
        <w:tblBorders>
          <w:top w:color="000000" w:val="nil"/>
          <w:left w:color="000000" w:val="nil"/>
          <w:bottom w:color="000000" w:val="nil"/>
          <w:right w:color="000000" w:val="nil"/>
          <w:insideH w:color="000000" w:val="nil"/>
          <w:insideV w:color="000000" w:val="nil"/>
        </w:tblBorders>
        <w:tblLayout w:type="fixed"/>
      </w:tblPr>
      <w:tblGrid>
        <w:gridCol w:w="5070"/>
        <w:gridCol w:w="5670"/>
      </w:tblGrid>
      <w:tr>
        <w:tc>
          <w:tcPr>
            <w:tcW w:type="dxa" w:w="5070"/>
            <w:tcBorders>
              <w:top w:color="000000" w:val="nil"/>
              <w:left w:color="000000" w:val="nil"/>
              <w:bottom w:color="000000" w:val="nil"/>
              <w:right w:color="000000" w:val="nil"/>
            </w:tcBorders>
          </w:tcPr>
          <w:p w14:paraId="6B000000">
            <w:pPr>
              <w:pStyle w:val="Style_3"/>
              <w:ind/>
              <w:jc w:val="both"/>
              <w:rPr>
                <w:b w:val="1"/>
                <w:sz w:val="20"/>
              </w:rPr>
            </w:pPr>
            <w:r>
              <w:rPr>
                <w:b w:val="1"/>
                <w:sz w:val="20"/>
              </w:rPr>
              <w:t>МУП «Нефтекамскводоканал»</w:t>
            </w:r>
          </w:p>
          <w:p w14:paraId="6C000000">
            <w:pPr>
              <w:pStyle w:val="Style_3"/>
              <w:ind/>
              <w:jc w:val="both"/>
              <w:rPr>
                <w:b w:val="1"/>
                <w:sz w:val="20"/>
              </w:rPr>
            </w:pPr>
            <w:r>
              <w:rPr>
                <w:sz w:val="20"/>
              </w:rPr>
              <w:t xml:space="preserve">452684, </w:t>
            </w:r>
            <w:r>
              <w:rPr>
                <w:sz w:val="20"/>
              </w:rPr>
              <w:t xml:space="preserve"> </w:t>
            </w:r>
            <w:r>
              <w:rPr>
                <w:sz w:val="20"/>
              </w:rPr>
              <w:t>Республика Башкортостан,</w:t>
            </w:r>
          </w:p>
          <w:p w14:paraId="6D000000">
            <w:pPr>
              <w:pStyle w:val="Style_3"/>
              <w:ind/>
              <w:jc w:val="both"/>
              <w:rPr>
                <w:b w:val="1"/>
                <w:sz w:val="20"/>
              </w:rPr>
            </w:pPr>
            <w:r>
              <w:rPr>
                <w:sz w:val="20"/>
              </w:rPr>
              <w:t xml:space="preserve">г. Нефтекамск, </w:t>
            </w:r>
            <w:r>
              <w:rPr>
                <w:sz w:val="20"/>
              </w:rPr>
              <w:t xml:space="preserve"> </w:t>
            </w:r>
            <w:r>
              <w:rPr>
                <w:sz w:val="20"/>
              </w:rPr>
              <w:t xml:space="preserve">ул. Чапаева, </w:t>
            </w:r>
            <w:r>
              <w:rPr>
                <w:sz w:val="20"/>
              </w:rPr>
              <w:t xml:space="preserve"> </w:t>
            </w:r>
            <w:r>
              <w:rPr>
                <w:sz w:val="20"/>
              </w:rPr>
              <w:t>д. 5</w:t>
            </w:r>
          </w:p>
          <w:p w14:paraId="6E000000">
            <w:pPr>
              <w:pStyle w:val="Style_3"/>
              <w:ind/>
              <w:jc w:val="both"/>
              <w:rPr>
                <w:sz w:val="20"/>
              </w:rPr>
            </w:pPr>
            <w:r>
              <w:rPr>
                <w:sz w:val="20"/>
              </w:rPr>
              <w:t xml:space="preserve">ИНН 0264014479, </w:t>
            </w:r>
            <w:r>
              <w:rPr>
                <w:sz w:val="20"/>
              </w:rPr>
              <w:t xml:space="preserve"> </w:t>
            </w:r>
            <w:r>
              <w:rPr>
                <w:sz w:val="20"/>
              </w:rPr>
              <w:t xml:space="preserve">КПП 026401001          </w:t>
            </w:r>
          </w:p>
          <w:p w14:paraId="6F000000">
            <w:pPr>
              <w:pStyle w:val="Style_3"/>
              <w:ind/>
              <w:jc w:val="both"/>
              <w:rPr>
                <w:sz w:val="20"/>
              </w:rPr>
            </w:pPr>
            <w:r>
              <w:rPr>
                <w:sz w:val="20"/>
              </w:rPr>
              <w:t>Р/с</w:t>
            </w:r>
            <w:r>
              <w:rPr>
                <w:sz w:val="20"/>
              </w:rPr>
              <w:t xml:space="preserve"> </w:t>
            </w:r>
            <w:r>
              <w:rPr>
                <w:sz w:val="20"/>
              </w:rPr>
              <w:t xml:space="preserve"> 40702810206240000340</w:t>
            </w:r>
          </w:p>
          <w:p w14:paraId="70000000">
            <w:pPr>
              <w:pStyle w:val="Style_3"/>
              <w:ind/>
              <w:jc w:val="both"/>
              <w:rPr>
                <w:sz w:val="20"/>
              </w:rPr>
            </w:pPr>
            <w:r>
              <w:rPr>
                <w:sz w:val="20"/>
              </w:rPr>
              <w:t xml:space="preserve">в </w:t>
            </w:r>
            <w:r>
              <w:rPr>
                <w:sz w:val="20"/>
              </w:rPr>
              <w:t xml:space="preserve"> </w:t>
            </w:r>
            <w:r>
              <w:rPr>
                <w:sz w:val="20"/>
              </w:rPr>
              <w:t>Башкирском</w:t>
            </w:r>
            <w:r>
              <w:rPr>
                <w:sz w:val="20"/>
              </w:rPr>
              <w:t xml:space="preserve"> </w:t>
            </w:r>
            <w:r>
              <w:rPr>
                <w:sz w:val="20"/>
              </w:rPr>
              <w:t>отделении</w:t>
            </w:r>
            <w:r>
              <w:rPr>
                <w:sz w:val="20"/>
              </w:rPr>
              <w:t xml:space="preserve"> </w:t>
            </w:r>
            <w:r>
              <w:rPr>
                <w:sz w:val="20"/>
              </w:rPr>
              <w:t xml:space="preserve"> №8598</w:t>
            </w:r>
          </w:p>
          <w:p w14:paraId="71000000">
            <w:pPr>
              <w:pStyle w:val="Style_3"/>
              <w:ind/>
              <w:jc w:val="both"/>
              <w:rPr>
                <w:sz w:val="20"/>
              </w:rPr>
            </w:pPr>
            <w:r>
              <w:rPr>
                <w:sz w:val="20"/>
              </w:rPr>
              <w:t>ПАО Сбербанк</w:t>
            </w:r>
            <w:r>
              <w:rPr>
                <w:sz w:val="20"/>
              </w:rPr>
              <w:t xml:space="preserve"> </w:t>
            </w:r>
            <w:r>
              <w:rPr>
                <w:sz w:val="20"/>
              </w:rPr>
              <w:t xml:space="preserve"> г.Уфа  </w:t>
            </w:r>
          </w:p>
          <w:p w14:paraId="72000000">
            <w:pPr>
              <w:pStyle w:val="Style_3"/>
              <w:ind/>
              <w:jc w:val="both"/>
              <w:rPr>
                <w:sz w:val="20"/>
              </w:rPr>
            </w:pPr>
            <w:r>
              <w:rPr>
                <w:sz w:val="20"/>
              </w:rPr>
              <w:t>e</w:t>
            </w:r>
            <w:r>
              <w:rPr>
                <w:sz w:val="20"/>
              </w:rPr>
              <w:t>-</w:t>
            </w:r>
            <w:r>
              <w:rPr>
                <w:sz w:val="20"/>
              </w:rPr>
              <w:t>mail</w:t>
            </w:r>
            <w:r>
              <w:rPr>
                <w:sz w:val="20"/>
              </w:rPr>
              <w:t>:</w:t>
            </w:r>
            <w:r>
              <w:rPr>
                <w:sz w:val="20"/>
              </w:rPr>
              <w:t xml:space="preserve"> </w:t>
            </w:r>
            <w:r>
              <w:rPr>
                <w:sz w:val="20"/>
              </w:rPr>
              <w:t>neftvodokanal</w:t>
            </w:r>
            <w:r>
              <w:rPr>
                <w:sz w:val="20"/>
              </w:rPr>
              <w:t>@</w:t>
            </w:r>
            <w:r>
              <w:rPr>
                <w:sz w:val="20"/>
              </w:rPr>
              <w:t>ufamts</w:t>
            </w:r>
            <w:r>
              <w:rPr>
                <w:sz w:val="20"/>
              </w:rPr>
              <w:t>.</w:t>
            </w:r>
            <w:r>
              <w:rPr>
                <w:sz w:val="20"/>
              </w:rPr>
              <w:t>ru</w:t>
            </w:r>
            <w:r>
              <w:rPr>
                <w:sz w:val="20"/>
              </w:rPr>
              <w:t xml:space="preserve">  </w:t>
            </w:r>
            <w:r>
              <w:rPr>
                <w:sz w:val="20"/>
              </w:rPr>
              <w:t xml:space="preserve">  </w:t>
            </w:r>
          </w:p>
          <w:p w14:paraId="73000000">
            <w:pPr>
              <w:pStyle w:val="Style_3"/>
              <w:ind/>
              <w:jc w:val="both"/>
              <w:rPr>
                <w:sz w:val="20"/>
              </w:rPr>
            </w:pPr>
            <w:r>
              <w:rPr>
                <w:sz w:val="20"/>
              </w:rPr>
              <w:t>тел.</w:t>
            </w:r>
            <w:r>
              <w:rPr>
                <w:sz w:val="20"/>
              </w:rPr>
              <w:t>:</w:t>
            </w:r>
            <w:r>
              <w:rPr>
                <w:sz w:val="20"/>
              </w:rPr>
              <w:t xml:space="preserve"> </w:t>
            </w:r>
            <w:r>
              <w:rPr>
                <w:sz w:val="20"/>
              </w:rPr>
              <w:t>(</w:t>
            </w:r>
            <w:r>
              <w:rPr>
                <w:sz w:val="20"/>
              </w:rPr>
              <w:t>834783</w:t>
            </w:r>
            <w:r>
              <w:rPr>
                <w:sz w:val="20"/>
              </w:rPr>
              <w:t>)</w:t>
            </w:r>
            <w:r>
              <w:rPr>
                <w:sz w:val="20"/>
              </w:rPr>
              <w:t xml:space="preserve"> 2-17-15,</w:t>
            </w:r>
            <w:r>
              <w:rPr>
                <w:sz w:val="20"/>
              </w:rPr>
              <w:t xml:space="preserve"> </w:t>
            </w:r>
            <w:r>
              <w:rPr>
                <w:sz w:val="20"/>
              </w:rPr>
              <w:t>3-99-15</w:t>
            </w:r>
          </w:p>
          <w:p w14:paraId="74000000">
            <w:pPr>
              <w:pStyle w:val="Style_3"/>
              <w:ind/>
              <w:jc w:val="both"/>
              <w:rPr>
                <w:sz w:val="20"/>
              </w:rPr>
            </w:pPr>
          </w:p>
          <w:p w14:paraId="75000000">
            <w:pPr>
              <w:pStyle w:val="Style_3"/>
              <w:ind/>
              <w:jc w:val="both"/>
              <w:rPr>
                <w:sz w:val="20"/>
              </w:rPr>
            </w:pPr>
          </w:p>
          <w:p w14:paraId="76000000">
            <w:pPr>
              <w:pStyle w:val="Style_3"/>
              <w:ind/>
              <w:jc w:val="both"/>
              <w:rPr>
                <w:sz w:val="20"/>
              </w:rPr>
            </w:pPr>
            <w:r>
              <w:rPr>
                <w:sz w:val="20"/>
              </w:rPr>
              <w:t>Директор</w:t>
            </w:r>
            <w:r>
              <w:rPr>
                <w:sz w:val="20"/>
              </w:rPr>
              <w:t xml:space="preserve">                                  Д.Х. Юсупов   </w:t>
            </w:r>
          </w:p>
          <w:p w14:paraId="77000000">
            <w:pPr>
              <w:pStyle w:val="Style_3"/>
              <w:ind/>
              <w:jc w:val="both"/>
              <w:rPr>
                <w:sz w:val="20"/>
              </w:rPr>
            </w:pPr>
          </w:p>
          <w:p w14:paraId="78000000">
            <w:pPr>
              <w:pStyle w:val="Style_3"/>
              <w:ind/>
              <w:jc w:val="both"/>
              <w:rPr>
                <w:sz w:val="20"/>
              </w:rPr>
            </w:pPr>
          </w:p>
          <w:p w14:paraId="79000000">
            <w:pPr>
              <w:pStyle w:val="Style_3"/>
              <w:ind/>
              <w:jc w:val="both"/>
              <w:rPr>
                <w:b w:val="1"/>
                <w:sz w:val="20"/>
              </w:rPr>
            </w:pPr>
            <w:r>
              <w:rPr>
                <w:sz w:val="20"/>
              </w:rPr>
              <w:t>Исп. ___________/__</w:t>
            </w:r>
            <w:r>
              <w:rPr>
                <w:sz w:val="20"/>
              </w:rPr>
              <w:t>_</w:t>
            </w:r>
            <w:r>
              <w:rPr>
                <w:sz w:val="20"/>
              </w:rPr>
              <w:t>__________________</w:t>
            </w:r>
          </w:p>
        </w:tc>
        <w:tc>
          <w:tcPr>
            <w:tcW w:type="dxa" w:w="5670"/>
            <w:tcBorders>
              <w:top w:color="000000" w:val="nil"/>
              <w:left w:color="000000" w:val="nil"/>
              <w:bottom w:color="000000" w:val="nil"/>
              <w:right w:color="000000" w:val="nil"/>
            </w:tcBorders>
          </w:tcPr>
          <w:p w14:paraId="7A000000">
            <w:pPr>
              <w:pStyle w:val="Style_3"/>
              <w:spacing w:line="276" w:lineRule="auto"/>
              <w:ind/>
              <w:jc w:val="both"/>
              <w:rPr>
                <w:sz w:val="20"/>
              </w:rPr>
            </w:pPr>
            <w:r>
              <w:rPr>
                <w:b w:val="1"/>
                <w:sz w:val="20"/>
              </w:rPr>
              <w:t xml:space="preserve">Абонент: </w:t>
            </w:r>
            <w:r>
              <w:rPr>
                <w:sz w:val="20"/>
              </w:rPr>
              <w:t>_______________________________________</w:t>
            </w:r>
          </w:p>
          <w:p w14:paraId="7B000000">
            <w:pPr>
              <w:pStyle w:val="Style_3"/>
              <w:spacing w:line="276" w:lineRule="auto"/>
              <w:ind/>
              <w:jc w:val="both"/>
              <w:rPr>
                <w:sz w:val="20"/>
              </w:rPr>
            </w:pPr>
            <w:r>
              <w:rPr>
                <w:sz w:val="20"/>
              </w:rPr>
              <w:t xml:space="preserve">Дата рождения: </w:t>
            </w:r>
            <w:bookmarkStart w:id="1" w:name="_GoBack"/>
            <w:bookmarkEnd w:id="1"/>
            <w:r>
              <w:rPr>
                <w:sz w:val="20"/>
              </w:rPr>
              <w:t>___.___.___________</w:t>
            </w:r>
            <w:r>
              <w:rPr>
                <w:sz w:val="20"/>
              </w:rPr>
              <w:t>г.</w:t>
            </w:r>
          </w:p>
          <w:p w14:paraId="7C000000">
            <w:pPr>
              <w:pStyle w:val="Style_3"/>
              <w:spacing w:line="276" w:lineRule="auto"/>
              <w:ind/>
              <w:jc w:val="both"/>
              <w:rPr>
                <w:sz w:val="20"/>
              </w:rPr>
            </w:pPr>
            <w:r>
              <w:rPr>
                <w:sz w:val="20"/>
              </w:rPr>
              <w:t xml:space="preserve">Паспорт: серия </w:t>
            </w:r>
            <w:r>
              <w:rPr>
                <w:sz w:val="20"/>
              </w:rPr>
              <w:t>___________</w:t>
            </w:r>
            <w:r>
              <w:rPr>
                <w:sz w:val="20"/>
              </w:rPr>
              <w:t xml:space="preserve"> </w:t>
            </w:r>
            <w:r>
              <w:rPr>
                <w:sz w:val="20"/>
              </w:rPr>
              <w:t xml:space="preserve"> </w:t>
            </w:r>
            <w:r>
              <w:rPr>
                <w:sz w:val="20"/>
              </w:rPr>
              <w:t xml:space="preserve">№ </w:t>
            </w:r>
            <w:r>
              <w:rPr>
                <w:sz w:val="20"/>
              </w:rPr>
              <w:t>____________________</w:t>
            </w:r>
          </w:p>
          <w:p w14:paraId="7D000000">
            <w:pPr>
              <w:pStyle w:val="Style_3"/>
              <w:spacing w:line="276" w:lineRule="auto"/>
              <w:ind/>
              <w:jc w:val="both"/>
              <w:rPr>
                <w:sz w:val="20"/>
              </w:rPr>
            </w:pPr>
            <w:r>
              <w:rPr>
                <w:sz w:val="20"/>
              </w:rPr>
              <w:t xml:space="preserve">выдан </w:t>
            </w:r>
            <w:r>
              <w:rPr>
                <w:sz w:val="20"/>
              </w:rPr>
              <w:t>___</w:t>
            </w:r>
            <w:r>
              <w:rPr>
                <w:sz w:val="20"/>
              </w:rPr>
              <w:t>.</w:t>
            </w:r>
            <w:r>
              <w:rPr>
                <w:sz w:val="20"/>
              </w:rPr>
              <w:t>___</w:t>
            </w:r>
            <w:r>
              <w:rPr>
                <w:sz w:val="20"/>
              </w:rPr>
              <w:t>.</w:t>
            </w:r>
            <w:r>
              <w:rPr>
                <w:sz w:val="20"/>
              </w:rPr>
              <w:t xml:space="preserve">________г. </w:t>
            </w:r>
            <w:r>
              <w:rPr>
                <w:i w:val="1"/>
                <w:sz w:val="20"/>
              </w:rPr>
              <w:t>кем</w:t>
            </w:r>
            <w:r>
              <w:rPr>
                <w:sz w:val="20"/>
              </w:rPr>
              <w:t>______________________</w:t>
            </w:r>
          </w:p>
          <w:p w14:paraId="7E000000">
            <w:pPr>
              <w:pStyle w:val="Style_3"/>
              <w:spacing w:line="276" w:lineRule="auto"/>
              <w:ind/>
              <w:jc w:val="both"/>
              <w:rPr>
                <w:sz w:val="20"/>
              </w:rPr>
            </w:pPr>
            <w:r>
              <w:rPr>
                <w:sz w:val="20"/>
              </w:rPr>
              <w:t>________________________________________________</w:t>
            </w:r>
          </w:p>
          <w:p w14:paraId="7F000000">
            <w:pPr>
              <w:pStyle w:val="Style_3"/>
              <w:spacing w:line="276" w:lineRule="auto"/>
              <w:ind/>
              <w:jc w:val="both"/>
              <w:rPr>
                <w:sz w:val="20"/>
              </w:rPr>
            </w:pPr>
            <w:r>
              <w:rPr>
                <w:sz w:val="20"/>
              </w:rPr>
              <w:t>ИНН</w:t>
            </w:r>
            <w:r>
              <w:rPr>
                <w:sz w:val="20"/>
              </w:rPr>
              <w:t xml:space="preserve"> </w:t>
            </w:r>
            <w:r>
              <w:rPr>
                <w:sz w:val="20"/>
              </w:rPr>
              <w:t>___________________________________________</w:t>
            </w:r>
            <w:r>
              <w:rPr>
                <w:sz w:val="20"/>
              </w:rPr>
              <w:t xml:space="preserve"> </w:t>
            </w:r>
          </w:p>
          <w:p w14:paraId="80000000">
            <w:pPr>
              <w:pStyle w:val="Style_3"/>
              <w:spacing w:line="276" w:lineRule="auto"/>
              <w:ind/>
              <w:jc w:val="both"/>
              <w:rPr>
                <w:sz w:val="20"/>
              </w:rPr>
            </w:pPr>
            <w:r>
              <w:rPr>
                <w:sz w:val="20"/>
              </w:rPr>
              <w:t>Адрес регистрации:</w:t>
            </w:r>
            <w:r>
              <w:rPr>
                <w:sz w:val="20"/>
              </w:rPr>
              <w:t xml:space="preserve"> </w:t>
            </w:r>
            <w:r>
              <w:rPr>
                <w:sz w:val="20"/>
              </w:rPr>
              <w:t xml:space="preserve"> _________</w:t>
            </w:r>
            <w:r>
              <w:rPr>
                <w:sz w:val="20"/>
              </w:rPr>
              <w:t>_____________</w:t>
            </w:r>
            <w:r>
              <w:rPr>
                <w:sz w:val="20"/>
              </w:rPr>
              <w:t>_______</w:t>
            </w:r>
            <w:r>
              <w:rPr>
                <w:sz w:val="20"/>
              </w:rPr>
              <w:t>_</w:t>
            </w:r>
          </w:p>
          <w:p w14:paraId="81000000">
            <w:pPr>
              <w:pStyle w:val="Style_3"/>
              <w:spacing w:line="276" w:lineRule="auto"/>
              <w:ind/>
              <w:jc w:val="both"/>
              <w:rPr>
                <w:sz w:val="20"/>
              </w:rPr>
            </w:pPr>
            <w:r>
              <w:rPr>
                <w:sz w:val="20"/>
              </w:rPr>
              <w:t>____________________</w:t>
            </w:r>
            <w:r>
              <w:rPr>
                <w:sz w:val="20"/>
              </w:rPr>
              <w:t>____________________________</w:t>
            </w:r>
          </w:p>
          <w:p w14:paraId="82000000">
            <w:pPr>
              <w:pStyle w:val="Style_3"/>
              <w:spacing w:line="276" w:lineRule="auto"/>
              <w:ind/>
              <w:jc w:val="both"/>
              <w:rPr>
                <w:sz w:val="20"/>
              </w:rPr>
            </w:pPr>
            <w:r>
              <w:rPr>
                <w:sz w:val="20"/>
              </w:rPr>
              <w:t>e</w:t>
            </w:r>
            <w:r>
              <w:rPr>
                <w:sz w:val="20"/>
              </w:rPr>
              <w:t>-</w:t>
            </w:r>
            <w:r>
              <w:rPr>
                <w:sz w:val="20"/>
              </w:rPr>
              <w:t>mail</w:t>
            </w:r>
            <w:r>
              <w:rPr>
                <w:sz w:val="20"/>
              </w:rPr>
              <w:t>:</w:t>
            </w:r>
            <w:r>
              <w:rPr>
                <w:sz w:val="20"/>
              </w:rPr>
              <w:t xml:space="preserve"> _________________</w:t>
            </w:r>
            <w:r>
              <w:rPr>
                <w:sz w:val="20"/>
              </w:rPr>
              <w:t>_</w:t>
            </w:r>
            <w:r>
              <w:rPr>
                <w:sz w:val="20"/>
              </w:rPr>
              <w:t>________________________</w:t>
            </w:r>
          </w:p>
          <w:p w14:paraId="83000000">
            <w:pPr>
              <w:pStyle w:val="Style_3"/>
              <w:spacing w:line="276" w:lineRule="auto"/>
              <w:ind/>
              <w:jc w:val="both"/>
              <w:rPr>
                <w:sz w:val="20"/>
              </w:rPr>
            </w:pPr>
            <w:r>
              <w:rPr>
                <w:sz w:val="20"/>
              </w:rPr>
              <w:t>тел.: __________</w:t>
            </w:r>
            <w:r>
              <w:rPr>
                <w:sz w:val="20"/>
              </w:rPr>
              <w:t>_</w:t>
            </w:r>
            <w:r>
              <w:rPr>
                <w:sz w:val="20"/>
              </w:rPr>
              <w:t>_________________________________</w:t>
            </w:r>
          </w:p>
          <w:p w14:paraId="84000000">
            <w:pPr>
              <w:pStyle w:val="Style_3"/>
              <w:spacing w:line="360" w:lineRule="auto"/>
              <w:ind/>
              <w:jc w:val="both"/>
              <w:rPr>
                <w:sz w:val="20"/>
              </w:rPr>
            </w:pPr>
            <w:r>
              <w:rPr>
                <w:sz w:val="20"/>
              </w:rPr>
              <w:t>Абонент ________________/_____</w:t>
            </w:r>
            <w:r>
              <w:rPr>
                <w:sz w:val="20"/>
              </w:rPr>
              <w:t>_</w:t>
            </w:r>
            <w:r>
              <w:rPr>
                <w:sz w:val="20"/>
              </w:rPr>
              <w:t>__________________</w:t>
            </w:r>
          </w:p>
          <w:p w14:paraId="85000000">
            <w:pPr>
              <w:pStyle w:val="Style_3"/>
              <w:spacing w:line="360" w:lineRule="auto"/>
              <w:ind w:firstLine="2160" w:left="0"/>
              <w:jc w:val="both"/>
              <w:rPr>
                <w:sz w:val="20"/>
              </w:rPr>
            </w:pPr>
            <w:r>
              <w:rPr>
                <w:sz w:val="20"/>
              </w:rPr>
              <w:t>«______» __</w:t>
            </w:r>
            <w:r>
              <w:rPr>
                <w:sz w:val="20"/>
              </w:rPr>
              <w:t>__</w:t>
            </w:r>
            <w:r>
              <w:rPr>
                <w:sz w:val="20"/>
              </w:rPr>
              <w:t>_________ 20___г.</w:t>
            </w:r>
          </w:p>
          <w:p w14:paraId="86000000">
            <w:pPr>
              <w:pStyle w:val="Style_3"/>
              <w:ind/>
              <w:jc w:val="both"/>
              <w:rPr>
                <w:b w:val="1"/>
                <w:sz w:val="20"/>
              </w:rPr>
            </w:pPr>
          </w:p>
        </w:tc>
      </w:tr>
    </w:tbl>
    <w:p w14:paraId="87000000">
      <w:pPr>
        <w:rPr>
          <w:sz w:val="20"/>
        </w:rPr>
      </w:pPr>
    </w:p>
    <w:sectPr>
      <w:pgSz w:h="16838" w:orient="portrait" w:w="11906"/>
      <w:pgMar w:bottom="454" w:footer="709" w:gutter="0" w:header="709" w:left="1134" w:right="454" w:top="45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6" w:type="paragraph">
    <w:name w:val="Normal"/>
    <w:link w:val="Style_6_ch"/>
    <w:uiPriority w:val="0"/>
    <w:qFormat/>
  </w:style>
  <w:style w:default="1" w:styleId="Style_6_ch" w:type="character">
    <w:name w:val="Normal"/>
    <w:link w:val="Style_6"/>
  </w:style>
  <w:style w:styleId="Style_7" w:type="paragraph">
    <w:name w:val="toc 2"/>
    <w:next w:val="Style_6"/>
    <w:link w:val="Style_7_ch"/>
    <w:uiPriority w:val="39"/>
    <w:pPr>
      <w:ind w:firstLine="0" w:left="200"/>
      <w:jc w:val="left"/>
    </w:pPr>
    <w:rPr>
      <w:rFonts w:ascii="XO Thames" w:hAnsi="XO Thames"/>
      <w:sz w:val="28"/>
    </w:rPr>
  </w:style>
  <w:style w:styleId="Style_7_ch" w:type="character">
    <w:name w:val="toc 2"/>
    <w:link w:val="Style_7"/>
    <w:rPr>
      <w:rFonts w:ascii="XO Thames" w:hAnsi="XO Thames"/>
      <w:sz w:val="28"/>
    </w:rPr>
  </w:style>
  <w:style w:styleId="Style_8" w:type="paragraph">
    <w:name w:val="toc 4"/>
    <w:next w:val="Style_6"/>
    <w:link w:val="Style_8_ch"/>
    <w:uiPriority w:val="39"/>
    <w:pPr>
      <w:ind w:firstLine="0" w:left="600"/>
      <w:jc w:val="left"/>
    </w:pPr>
    <w:rPr>
      <w:rFonts w:ascii="XO Thames" w:hAnsi="XO Thames"/>
      <w:sz w:val="28"/>
    </w:rPr>
  </w:style>
  <w:style w:styleId="Style_8_ch" w:type="character">
    <w:name w:val="toc 4"/>
    <w:link w:val="Style_8"/>
    <w:rPr>
      <w:rFonts w:ascii="XO Thames" w:hAnsi="XO Thames"/>
      <w:sz w:val="28"/>
    </w:rPr>
  </w:style>
  <w:style w:styleId="Style_9" w:type="paragraph">
    <w:name w:val="toc 6"/>
    <w:next w:val="Style_6"/>
    <w:link w:val="Style_9_ch"/>
    <w:uiPriority w:val="39"/>
    <w:pPr>
      <w:ind w:firstLine="0" w:left="1000"/>
      <w:jc w:val="left"/>
    </w:pPr>
    <w:rPr>
      <w:rFonts w:ascii="XO Thames" w:hAnsi="XO Thames"/>
      <w:sz w:val="28"/>
    </w:rPr>
  </w:style>
  <w:style w:styleId="Style_9_ch" w:type="character">
    <w:name w:val="toc 6"/>
    <w:link w:val="Style_9"/>
    <w:rPr>
      <w:rFonts w:ascii="XO Thames" w:hAnsi="XO Thames"/>
      <w:sz w:val="28"/>
    </w:rPr>
  </w:style>
  <w:style w:styleId="Style_10" w:type="paragraph">
    <w:name w:val="toc 7"/>
    <w:next w:val="Style_6"/>
    <w:link w:val="Style_10_ch"/>
    <w:uiPriority w:val="39"/>
    <w:pPr>
      <w:ind w:firstLine="0" w:left="1200"/>
      <w:jc w:val="left"/>
    </w:pPr>
    <w:rPr>
      <w:rFonts w:ascii="XO Thames" w:hAnsi="XO Thames"/>
      <w:sz w:val="28"/>
    </w:rPr>
  </w:style>
  <w:style w:styleId="Style_10_ch" w:type="character">
    <w:name w:val="toc 7"/>
    <w:link w:val="Style_10"/>
    <w:rPr>
      <w:rFonts w:ascii="XO Thames" w:hAnsi="XO Thames"/>
      <w:sz w:val="28"/>
    </w:rPr>
  </w:style>
  <w:style w:styleId="Style_1" w:type="paragraph">
    <w:name w:val="ConsPlusNormal"/>
    <w:link w:val="Style_1_ch"/>
    <w:pPr>
      <w:widowControl w:val="0"/>
      <w:spacing w:after="0" w:line="240" w:lineRule="auto"/>
      <w:ind/>
    </w:pPr>
    <w:rPr>
      <w:rFonts w:ascii="Times New Roman" w:hAnsi="Times New Roman"/>
      <w:sz w:val="24"/>
    </w:rPr>
  </w:style>
  <w:style w:styleId="Style_1_ch" w:type="character">
    <w:name w:val="ConsPlusNormal"/>
    <w:link w:val="Style_1"/>
    <w:rPr>
      <w:rFonts w:ascii="Times New Roman" w:hAnsi="Times New Roman"/>
      <w:sz w:val="24"/>
    </w:rPr>
  </w:style>
  <w:style w:styleId="Style_11" w:type="paragraph">
    <w:name w:val="heading 3"/>
    <w:next w:val="Style_6"/>
    <w:link w:val="Style_11_ch"/>
    <w:uiPriority w:val="9"/>
    <w:qFormat/>
    <w:pPr>
      <w:spacing w:after="120" w:before="120"/>
      <w:ind/>
      <w:jc w:val="both"/>
      <w:outlineLvl w:val="2"/>
    </w:pPr>
    <w:rPr>
      <w:rFonts w:ascii="XO Thames" w:hAnsi="XO Thames"/>
      <w:b w:val="1"/>
      <w:sz w:val="26"/>
    </w:rPr>
  </w:style>
  <w:style w:styleId="Style_11_ch" w:type="character">
    <w:name w:val="heading 3"/>
    <w:link w:val="Style_11"/>
    <w:rPr>
      <w:rFonts w:ascii="XO Thames" w:hAnsi="XO Thames"/>
      <w:b w:val="1"/>
      <w:sz w:val="26"/>
    </w:rPr>
  </w:style>
  <w:style w:styleId="Style_4" w:type="paragraph">
    <w:name w:val="Preformatted Text"/>
    <w:basedOn w:val="Style_3"/>
    <w:link w:val="Style_4_ch"/>
    <w:rPr>
      <w:rFonts w:ascii="Courier New" w:hAnsi="Courier New"/>
      <w:sz w:val="20"/>
    </w:rPr>
  </w:style>
  <w:style w:styleId="Style_4_ch" w:type="character">
    <w:name w:val="Preformatted Text"/>
    <w:basedOn w:val="Style_3_ch"/>
    <w:link w:val="Style_4"/>
    <w:rPr>
      <w:rFonts w:ascii="Courier New" w:hAnsi="Courier New"/>
      <w:sz w:val="20"/>
    </w:rPr>
  </w:style>
  <w:style w:styleId="Style_12" w:type="paragraph">
    <w:name w:val="ConsPlusNonformat"/>
    <w:next w:val="Style_1"/>
    <w:link w:val="Style_12_ch"/>
    <w:pPr>
      <w:widowControl w:val="0"/>
      <w:spacing w:after="0" w:line="240" w:lineRule="auto"/>
      <w:ind/>
    </w:pPr>
    <w:rPr>
      <w:rFonts w:ascii="Courier New" w:hAnsi="Courier New"/>
      <w:sz w:val="20"/>
    </w:rPr>
  </w:style>
  <w:style w:styleId="Style_12_ch" w:type="character">
    <w:name w:val="ConsPlusNonformat"/>
    <w:link w:val="Style_12"/>
    <w:rPr>
      <w:rFonts w:ascii="Courier New" w:hAnsi="Courier New"/>
      <w:sz w:val="20"/>
    </w:rPr>
  </w:style>
  <w:style w:styleId="Style_3" w:type="paragraph">
    <w:name w:val="Standard"/>
    <w:link w:val="Style_3_ch"/>
    <w:pPr>
      <w:widowControl w:val="0"/>
      <w:spacing w:after="0" w:line="240" w:lineRule="auto"/>
      <w:ind/>
    </w:pPr>
    <w:rPr>
      <w:rFonts w:ascii="Times New Roman" w:hAnsi="Times New Roman"/>
      <w:sz w:val="24"/>
    </w:rPr>
  </w:style>
  <w:style w:styleId="Style_3_ch" w:type="character">
    <w:name w:val="Standard"/>
    <w:link w:val="Style_3"/>
    <w:rPr>
      <w:rFonts w:ascii="Times New Roman" w:hAnsi="Times New Roman"/>
      <w:sz w:val="24"/>
    </w:rPr>
  </w:style>
  <w:style w:styleId="Style_13" w:type="paragraph">
    <w:name w:val="toc 3"/>
    <w:next w:val="Style_6"/>
    <w:link w:val="Style_13_ch"/>
    <w:uiPriority w:val="39"/>
    <w:pPr>
      <w:ind w:firstLine="0" w:left="400"/>
      <w:jc w:val="left"/>
    </w:pPr>
    <w:rPr>
      <w:rFonts w:ascii="XO Thames" w:hAnsi="XO Thames"/>
      <w:sz w:val="28"/>
    </w:rPr>
  </w:style>
  <w:style w:styleId="Style_13_ch" w:type="character">
    <w:name w:val="toc 3"/>
    <w:link w:val="Style_13"/>
    <w:rPr>
      <w:rFonts w:ascii="XO Thames" w:hAnsi="XO Thames"/>
      <w:sz w:val="28"/>
    </w:rPr>
  </w:style>
  <w:style w:styleId="Style_2" w:type="paragraph">
    <w:name w:val="FR1"/>
    <w:link w:val="Style_2_ch"/>
    <w:pPr>
      <w:widowControl w:val="0"/>
      <w:spacing w:after="0" w:line="372" w:lineRule="auto"/>
      <w:ind w:hanging="360" w:left="400"/>
    </w:pPr>
    <w:rPr>
      <w:rFonts w:ascii="Arial" w:hAnsi="Arial"/>
      <w:sz w:val="20"/>
    </w:rPr>
  </w:style>
  <w:style w:styleId="Style_2_ch" w:type="character">
    <w:name w:val="FR1"/>
    <w:link w:val="Style_2"/>
    <w:rPr>
      <w:rFonts w:ascii="Arial" w:hAnsi="Arial"/>
      <w:sz w:val="20"/>
    </w:rPr>
  </w:style>
  <w:style w:styleId="Style_14" w:type="paragraph">
    <w:name w:val="heading 5"/>
    <w:next w:val="Style_6"/>
    <w:link w:val="Style_14_ch"/>
    <w:uiPriority w:val="9"/>
    <w:qFormat/>
    <w:pPr>
      <w:spacing w:after="120" w:before="120"/>
      <w:ind/>
      <w:jc w:val="both"/>
      <w:outlineLvl w:val="4"/>
    </w:pPr>
    <w:rPr>
      <w:rFonts w:ascii="XO Thames" w:hAnsi="XO Thames"/>
      <w:b w:val="1"/>
      <w:sz w:val="22"/>
    </w:rPr>
  </w:style>
  <w:style w:styleId="Style_14_ch" w:type="character">
    <w:name w:val="heading 5"/>
    <w:link w:val="Style_14"/>
    <w:rPr>
      <w:rFonts w:ascii="XO Thames" w:hAnsi="XO Thames"/>
      <w:b w:val="1"/>
      <w:sz w:val="22"/>
    </w:rPr>
  </w:style>
  <w:style w:styleId="Style_15" w:type="paragraph">
    <w:name w:val="heading 1"/>
    <w:next w:val="Style_6"/>
    <w:link w:val="Style_15_ch"/>
    <w:uiPriority w:val="9"/>
    <w:qFormat/>
    <w:pPr>
      <w:spacing w:after="120" w:before="120"/>
      <w:ind/>
      <w:jc w:val="both"/>
      <w:outlineLvl w:val="0"/>
    </w:pPr>
    <w:rPr>
      <w:rFonts w:ascii="XO Thames" w:hAnsi="XO Thames"/>
      <w:b w:val="1"/>
      <w:sz w:val="32"/>
    </w:rPr>
  </w:style>
  <w:style w:styleId="Style_15_ch" w:type="character">
    <w:name w:val="heading 1"/>
    <w:link w:val="Style_15"/>
    <w:rPr>
      <w:rFonts w:ascii="XO Thames" w:hAnsi="XO Thames"/>
      <w:b w:val="1"/>
      <w:sz w:val="32"/>
    </w:rPr>
  </w:style>
  <w:style w:styleId="Style_16" w:type="paragraph">
    <w:name w:val="Hyperlink"/>
    <w:basedOn w:val="Style_17"/>
    <w:link w:val="Style_16_ch"/>
    <w:rPr>
      <w:color w:val="0000FF"/>
      <w:u w:val="single"/>
    </w:rPr>
  </w:style>
  <w:style w:styleId="Style_16_ch" w:type="character">
    <w:name w:val="Hyperlink"/>
    <w:basedOn w:val="Style_17_ch"/>
    <w:link w:val="Style_16"/>
    <w:rPr>
      <w:color w:val="0000FF"/>
      <w:u w:val="single"/>
    </w:rPr>
  </w:style>
  <w:style w:styleId="Style_18" w:type="paragraph">
    <w:name w:val="Footnote"/>
    <w:link w:val="Style_18_ch"/>
    <w:pPr>
      <w:ind w:firstLine="851" w:left="0"/>
      <w:jc w:val="both"/>
    </w:pPr>
    <w:rPr>
      <w:rFonts w:ascii="XO Thames" w:hAnsi="XO Thames"/>
      <w:sz w:val="22"/>
    </w:rPr>
  </w:style>
  <w:style w:styleId="Style_18_ch" w:type="character">
    <w:name w:val="Footnote"/>
    <w:link w:val="Style_18"/>
    <w:rPr>
      <w:rFonts w:ascii="XO Thames" w:hAnsi="XO Thames"/>
      <w:sz w:val="22"/>
    </w:rPr>
  </w:style>
  <w:style w:styleId="Style_19" w:type="paragraph">
    <w:name w:val="toc 1"/>
    <w:next w:val="Style_6"/>
    <w:link w:val="Style_19_ch"/>
    <w:uiPriority w:val="39"/>
    <w:pPr>
      <w:ind w:firstLine="0" w:left="0"/>
      <w:jc w:val="left"/>
    </w:pPr>
    <w:rPr>
      <w:rFonts w:ascii="XO Thames" w:hAnsi="XO Thames"/>
      <w:b w:val="1"/>
      <w:sz w:val="28"/>
    </w:rPr>
  </w:style>
  <w:style w:styleId="Style_19_ch" w:type="character">
    <w:name w:val="toc 1"/>
    <w:link w:val="Style_19"/>
    <w:rPr>
      <w:rFonts w:ascii="XO Thames" w:hAnsi="XO Thames"/>
      <w:b w:val="1"/>
      <w:sz w:val="28"/>
    </w:rPr>
  </w:style>
  <w:style w:styleId="Style_20" w:type="paragraph">
    <w:name w:val="Header and Footer"/>
    <w:link w:val="Style_20_ch"/>
    <w:pPr>
      <w:spacing w:line="240" w:lineRule="auto"/>
      <w:ind/>
      <w:jc w:val="both"/>
    </w:pPr>
    <w:rPr>
      <w:rFonts w:ascii="XO Thames" w:hAnsi="XO Thames"/>
      <w:sz w:val="20"/>
    </w:rPr>
  </w:style>
  <w:style w:styleId="Style_20_ch" w:type="character">
    <w:name w:val="Header and Footer"/>
    <w:link w:val="Style_20"/>
    <w:rPr>
      <w:rFonts w:ascii="XO Thames" w:hAnsi="XO Thames"/>
      <w:sz w:val="20"/>
    </w:rPr>
  </w:style>
  <w:style w:styleId="Style_21" w:type="paragraph">
    <w:name w:val="toc 9"/>
    <w:next w:val="Style_6"/>
    <w:link w:val="Style_21_ch"/>
    <w:uiPriority w:val="39"/>
    <w:pPr>
      <w:ind w:firstLine="0" w:left="1600"/>
      <w:jc w:val="left"/>
    </w:pPr>
    <w:rPr>
      <w:rFonts w:ascii="XO Thames" w:hAnsi="XO Thames"/>
      <w:sz w:val="28"/>
    </w:rPr>
  </w:style>
  <w:style w:styleId="Style_21_ch" w:type="character">
    <w:name w:val="toc 9"/>
    <w:link w:val="Style_21"/>
    <w:rPr>
      <w:rFonts w:ascii="XO Thames" w:hAnsi="XO Thames"/>
      <w:sz w:val="28"/>
    </w:rPr>
  </w:style>
  <w:style w:styleId="Style_22" w:type="paragraph">
    <w:name w:val="toc 8"/>
    <w:next w:val="Style_6"/>
    <w:link w:val="Style_22_ch"/>
    <w:uiPriority w:val="39"/>
    <w:pPr>
      <w:ind w:firstLine="0" w:left="1400"/>
      <w:jc w:val="left"/>
    </w:pPr>
    <w:rPr>
      <w:rFonts w:ascii="XO Thames" w:hAnsi="XO Thames"/>
      <w:sz w:val="28"/>
    </w:rPr>
  </w:style>
  <w:style w:styleId="Style_22_ch" w:type="character">
    <w:name w:val="toc 8"/>
    <w:link w:val="Style_22"/>
    <w:rPr>
      <w:rFonts w:ascii="XO Thames" w:hAnsi="XO Thames"/>
      <w:sz w:val="28"/>
    </w:rPr>
  </w:style>
  <w:style w:styleId="Style_23" w:type="paragraph">
    <w:name w:val="toc 5"/>
    <w:next w:val="Style_6"/>
    <w:link w:val="Style_23_ch"/>
    <w:uiPriority w:val="39"/>
    <w:pPr>
      <w:ind w:firstLine="0" w:left="800"/>
      <w:jc w:val="left"/>
    </w:pPr>
    <w:rPr>
      <w:rFonts w:ascii="XO Thames" w:hAnsi="XO Thames"/>
      <w:sz w:val="28"/>
    </w:rPr>
  </w:style>
  <w:style w:styleId="Style_23_ch" w:type="character">
    <w:name w:val="toc 5"/>
    <w:link w:val="Style_23"/>
    <w:rPr>
      <w:rFonts w:ascii="XO Thames" w:hAnsi="XO Thames"/>
      <w:sz w:val="28"/>
    </w:rPr>
  </w:style>
  <w:style w:styleId="Style_24" w:type="paragraph">
    <w:name w:val="Subtitle"/>
    <w:next w:val="Style_6"/>
    <w:link w:val="Style_24_ch"/>
    <w:uiPriority w:val="11"/>
    <w:qFormat/>
    <w:pPr>
      <w:ind/>
      <w:jc w:val="both"/>
    </w:pPr>
    <w:rPr>
      <w:rFonts w:ascii="XO Thames" w:hAnsi="XO Thames"/>
      <w:i w:val="1"/>
      <w:sz w:val="24"/>
    </w:rPr>
  </w:style>
  <w:style w:styleId="Style_24_ch" w:type="character">
    <w:name w:val="Subtitle"/>
    <w:link w:val="Style_24"/>
    <w:rPr>
      <w:rFonts w:ascii="XO Thames" w:hAnsi="XO Thames"/>
      <w:i w:val="1"/>
      <w:sz w:val="24"/>
    </w:rPr>
  </w:style>
  <w:style w:styleId="Style_25" w:type="paragraph">
    <w:name w:val="Title"/>
    <w:next w:val="Style_6"/>
    <w:link w:val="Style_25_ch"/>
    <w:uiPriority w:val="10"/>
    <w:qFormat/>
    <w:pPr>
      <w:spacing w:after="567" w:before="567"/>
      <w:ind/>
      <w:jc w:val="center"/>
    </w:pPr>
    <w:rPr>
      <w:rFonts w:ascii="XO Thames" w:hAnsi="XO Thames"/>
      <w:b w:val="1"/>
      <w:caps w:val="1"/>
      <w:sz w:val="40"/>
    </w:rPr>
  </w:style>
  <w:style w:styleId="Style_25_ch" w:type="character">
    <w:name w:val="Title"/>
    <w:link w:val="Style_25"/>
    <w:rPr>
      <w:rFonts w:ascii="XO Thames" w:hAnsi="XO Thames"/>
      <w:b w:val="1"/>
      <w:caps w:val="1"/>
      <w:sz w:val="40"/>
    </w:rPr>
  </w:style>
  <w:style w:styleId="Style_26" w:type="paragraph">
    <w:name w:val="heading 4"/>
    <w:next w:val="Style_6"/>
    <w:link w:val="Style_26_ch"/>
    <w:uiPriority w:val="9"/>
    <w:qFormat/>
    <w:pPr>
      <w:spacing w:after="120" w:before="120"/>
      <w:ind/>
      <w:jc w:val="both"/>
      <w:outlineLvl w:val="3"/>
    </w:pPr>
    <w:rPr>
      <w:rFonts w:ascii="XO Thames" w:hAnsi="XO Thames"/>
      <w:b w:val="1"/>
      <w:sz w:val="24"/>
    </w:rPr>
  </w:style>
  <w:style w:styleId="Style_26_ch" w:type="character">
    <w:name w:val="heading 4"/>
    <w:link w:val="Style_26"/>
    <w:rPr>
      <w:rFonts w:ascii="XO Thames" w:hAnsi="XO Thames"/>
      <w:b w:val="1"/>
      <w:sz w:val="24"/>
    </w:rPr>
  </w:style>
  <w:style w:styleId="Style_27" w:type="paragraph">
    <w:name w:val="heading 2"/>
    <w:next w:val="Style_6"/>
    <w:link w:val="Style_27_ch"/>
    <w:uiPriority w:val="9"/>
    <w:qFormat/>
    <w:pPr>
      <w:spacing w:after="120" w:before="120"/>
      <w:ind/>
      <w:jc w:val="both"/>
      <w:outlineLvl w:val="1"/>
    </w:pPr>
    <w:rPr>
      <w:rFonts w:ascii="XO Thames" w:hAnsi="XO Thames"/>
      <w:b w:val="1"/>
      <w:sz w:val="28"/>
    </w:rPr>
  </w:style>
  <w:style w:styleId="Style_27_ch" w:type="character">
    <w:name w:val="heading 2"/>
    <w:link w:val="Style_27"/>
    <w:rPr>
      <w:rFonts w:ascii="XO Thames" w:hAnsi="XO Thames"/>
      <w:b w:val="1"/>
      <w:sz w:val="28"/>
    </w:rPr>
  </w:style>
  <w:style w:styleId="Style_17" w:type="paragraph">
    <w:name w:val="Default Paragraph Font"/>
    <w:link w:val="Style_17_ch"/>
  </w:style>
  <w:style w:styleId="Style_17_ch" w:type="character">
    <w:name w:val="Default Paragraph Font"/>
    <w:link w:val="Style_17"/>
  </w:style>
  <w:style w:default="1" w:styleId="Style_28" w:type="table">
    <w:name w:val="Normal Table"/>
    <w:tblPr>
      <w:tblInd w:type="dxa" w:w="0"/>
      <w:tblCellMar>
        <w:top w:type="dxa" w:w="0"/>
        <w:left w:type="dxa" w:w="108"/>
        <w:bottom w:type="dxa" w:w="0"/>
        <w:right w:type="dxa" w:w="108"/>
      </w:tblCellMar>
    </w:tblPr>
  </w:style>
  <w:style w:styleId="Style_5" w:type="table">
    <w:name w:val="Table Grid"/>
    <w:basedOn w:val="Style_28"/>
    <w:pPr>
      <w:spacing w:after="0" w:line="240" w:lineRule="auto"/>
      <w:ind/>
    </w:p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2022-09-29T09:06:36Z</dcterms:modified>
</cp:coreProperties>
</file>